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6416" w14:textId="77777777" w:rsidR="006355FB" w:rsidRPr="00EA7DA6" w:rsidRDefault="00FC23E0">
      <w:pPr>
        <w:spacing w:before="175"/>
        <w:ind w:left="3557"/>
        <w:rPr>
          <w:b/>
          <w:color w:val="008080"/>
          <w:sz w:val="20"/>
        </w:rPr>
      </w:pPr>
      <w:r w:rsidRPr="00EA7DA6">
        <w:rPr>
          <w:noProof/>
          <w:color w:val="008080"/>
        </w:rPr>
        <w:drawing>
          <wp:anchor distT="0" distB="0" distL="0" distR="0" simplePos="0" relativeHeight="15728640" behindDoc="0" locked="0" layoutInCell="1" allowOverlap="1" wp14:anchorId="3143AD99" wp14:editId="0C678CF1">
            <wp:simplePos x="0" y="0"/>
            <wp:positionH relativeFrom="page">
              <wp:posOffset>889000</wp:posOffset>
            </wp:positionH>
            <wp:positionV relativeFrom="paragraph">
              <wp:posOffset>-928</wp:posOffset>
            </wp:positionV>
            <wp:extent cx="1054735" cy="467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46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DA6">
        <w:rPr>
          <w:b/>
          <w:color w:val="008080"/>
          <w:sz w:val="20"/>
        </w:rPr>
        <w:t>АКЦИОНЕРНОЕ</w:t>
      </w:r>
      <w:r w:rsidRPr="00EA7DA6">
        <w:rPr>
          <w:b/>
          <w:color w:val="008080"/>
          <w:spacing w:val="-7"/>
          <w:sz w:val="20"/>
        </w:rPr>
        <w:t xml:space="preserve"> </w:t>
      </w:r>
      <w:r w:rsidRPr="00EA7DA6">
        <w:rPr>
          <w:b/>
          <w:color w:val="008080"/>
          <w:sz w:val="20"/>
        </w:rPr>
        <w:t>ОБЩЕСТВО</w:t>
      </w:r>
    </w:p>
    <w:p w14:paraId="29AC873F" w14:textId="77777777" w:rsidR="006355FB" w:rsidRPr="00EA7DA6" w:rsidRDefault="00FC23E0">
      <w:pPr>
        <w:spacing w:before="1"/>
        <w:ind w:left="3557"/>
        <w:rPr>
          <w:b/>
          <w:color w:val="008080"/>
          <w:sz w:val="20"/>
        </w:rPr>
      </w:pPr>
      <w:r w:rsidRPr="00EA7DA6">
        <w:rPr>
          <w:b/>
          <w:color w:val="008080"/>
          <w:sz w:val="20"/>
        </w:rPr>
        <w:t>«НАЦИОНАЛЬНЫЙ</w:t>
      </w:r>
      <w:r w:rsidRPr="00EA7DA6">
        <w:rPr>
          <w:b/>
          <w:color w:val="008080"/>
          <w:spacing w:val="-6"/>
          <w:sz w:val="20"/>
        </w:rPr>
        <w:t xml:space="preserve"> </w:t>
      </w:r>
      <w:r w:rsidRPr="00EA7DA6">
        <w:rPr>
          <w:b/>
          <w:color w:val="008080"/>
          <w:sz w:val="20"/>
        </w:rPr>
        <w:t>НЕГОСУДАРСТВЕННЫЙ</w:t>
      </w:r>
      <w:r w:rsidRPr="00EA7DA6">
        <w:rPr>
          <w:b/>
          <w:color w:val="008080"/>
          <w:spacing w:val="-5"/>
          <w:sz w:val="20"/>
        </w:rPr>
        <w:t xml:space="preserve"> </w:t>
      </w:r>
      <w:r w:rsidRPr="00EA7DA6">
        <w:rPr>
          <w:b/>
          <w:color w:val="008080"/>
          <w:sz w:val="20"/>
        </w:rPr>
        <w:t>ПЕНСИОННЫЙ</w:t>
      </w:r>
      <w:r w:rsidRPr="00EA7DA6">
        <w:rPr>
          <w:b/>
          <w:color w:val="008080"/>
          <w:spacing w:val="-5"/>
          <w:sz w:val="20"/>
        </w:rPr>
        <w:t xml:space="preserve"> </w:t>
      </w:r>
      <w:r w:rsidRPr="00EA7DA6">
        <w:rPr>
          <w:b/>
          <w:color w:val="008080"/>
          <w:sz w:val="20"/>
        </w:rPr>
        <w:t>ФОНД»</w:t>
      </w:r>
    </w:p>
    <w:p w14:paraId="5ACD3AE6" w14:textId="77777777" w:rsidR="006355FB" w:rsidRPr="00EA7DA6" w:rsidRDefault="006355FB">
      <w:pPr>
        <w:pStyle w:val="a3"/>
        <w:rPr>
          <w:b/>
          <w:color w:val="008080"/>
          <w:sz w:val="20"/>
        </w:rPr>
      </w:pPr>
    </w:p>
    <w:p w14:paraId="0E59808B" w14:textId="77777777" w:rsidR="006355FB" w:rsidRDefault="006355FB">
      <w:pPr>
        <w:pStyle w:val="a3"/>
        <w:rPr>
          <w:b/>
          <w:sz w:val="20"/>
        </w:rPr>
      </w:pPr>
    </w:p>
    <w:p w14:paraId="1AA5190F" w14:textId="77777777" w:rsidR="006355FB" w:rsidRDefault="006355FB">
      <w:pPr>
        <w:pStyle w:val="a3"/>
        <w:spacing w:before="8"/>
        <w:rPr>
          <w:b/>
          <w:sz w:val="21"/>
        </w:rPr>
      </w:pPr>
    </w:p>
    <w:p w14:paraId="4ABF0FA4" w14:textId="77777777" w:rsidR="006355FB" w:rsidRPr="00EA7DA6" w:rsidRDefault="00FC23E0">
      <w:pPr>
        <w:spacing w:before="101"/>
        <w:ind w:left="2997" w:right="799" w:hanging="1655"/>
        <w:rPr>
          <w:b/>
          <w:color w:val="008080"/>
        </w:rPr>
      </w:pPr>
      <w:r w:rsidRPr="00EA7DA6">
        <w:rPr>
          <w:b/>
          <w:color w:val="008080"/>
        </w:rPr>
        <w:t>Информация о процессе инвестирования средств пенсионных накоплений и</w:t>
      </w:r>
      <w:r w:rsidRPr="00EA7DA6">
        <w:rPr>
          <w:b/>
          <w:color w:val="008080"/>
          <w:spacing w:val="-62"/>
        </w:rPr>
        <w:t xml:space="preserve"> </w:t>
      </w:r>
      <w:r w:rsidRPr="00EA7DA6">
        <w:rPr>
          <w:b/>
          <w:color w:val="008080"/>
        </w:rPr>
        <w:t>размещения</w:t>
      </w:r>
      <w:r w:rsidRPr="00EA7DA6">
        <w:rPr>
          <w:b/>
          <w:color w:val="008080"/>
          <w:spacing w:val="-4"/>
        </w:rPr>
        <w:t xml:space="preserve"> </w:t>
      </w:r>
      <w:r w:rsidRPr="00EA7DA6">
        <w:rPr>
          <w:b/>
          <w:color w:val="008080"/>
        </w:rPr>
        <w:t>средств</w:t>
      </w:r>
      <w:r w:rsidRPr="00EA7DA6">
        <w:rPr>
          <w:b/>
          <w:color w:val="008080"/>
          <w:spacing w:val="-2"/>
        </w:rPr>
        <w:t xml:space="preserve"> </w:t>
      </w:r>
      <w:r w:rsidRPr="00EA7DA6">
        <w:rPr>
          <w:b/>
          <w:color w:val="008080"/>
        </w:rPr>
        <w:t>пенсионных</w:t>
      </w:r>
      <w:r w:rsidRPr="00EA7DA6">
        <w:rPr>
          <w:b/>
          <w:color w:val="008080"/>
          <w:spacing w:val="-2"/>
        </w:rPr>
        <w:t xml:space="preserve"> </w:t>
      </w:r>
      <w:r w:rsidRPr="00EA7DA6">
        <w:rPr>
          <w:b/>
          <w:color w:val="008080"/>
        </w:rPr>
        <w:t>резервов</w:t>
      </w:r>
    </w:p>
    <w:p w14:paraId="1EC7F374" w14:textId="77777777" w:rsidR="006355FB" w:rsidRPr="00B03583" w:rsidRDefault="006355FB">
      <w:pPr>
        <w:pStyle w:val="a3"/>
        <w:spacing w:before="4"/>
        <w:rPr>
          <w:b/>
          <w:color w:val="404040" w:themeColor="text1" w:themeTint="BF"/>
          <w:sz w:val="25"/>
        </w:rPr>
      </w:pPr>
    </w:p>
    <w:p w14:paraId="77D359B1" w14:textId="77777777" w:rsidR="006355FB" w:rsidRPr="00B03583" w:rsidRDefault="00FC23E0">
      <w:pPr>
        <w:pStyle w:val="a3"/>
        <w:spacing w:before="1" w:line="276" w:lineRule="auto"/>
        <w:ind w:left="678" w:right="706" w:firstLine="566"/>
        <w:jc w:val="both"/>
        <w:rPr>
          <w:color w:val="404040" w:themeColor="text1" w:themeTint="BF"/>
        </w:rPr>
      </w:pPr>
      <w:r w:rsidRPr="00B03583">
        <w:rPr>
          <w:color w:val="404040" w:themeColor="text1" w:themeTint="BF"/>
        </w:rPr>
        <w:t>Инвестирование средств пенсионных накоплений и размещение средств 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резервов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осуществляется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рамках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принятой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Инвестиционной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политики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Фонда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при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неукоснительном соблюдении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требований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действующего</w:t>
      </w:r>
      <w:r w:rsidRPr="00B03583">
        <w:rPr>
          <w:color w:val="404040" w:themeColor="text1" w:themeTint="BF"/>
          <w:spacing w:val="-4"/>
        </w:rPr>
        <w:t xml:space="preserve"> </w:t>
      </w:r>
      <w:r w:rsidRPr="00B03583">
        <w:rPr>
          <w:color w:val="404040" w:themeColor="text1" w:themeTint="BF"/>
        </w:rPr>
        <w:t>законодательства.</w:t>
      </w:r>
    </w:p>
    <w:p w14:paraId="0224D01E" w14:textId="77777777" w:rsidR="006355FB" w:rsidRPr="00B03583" w:rsidRDefault="00FC23E0">
      <w:pPr>
        <w:pStyle w:val="a3"/>
        <w:spacing w:line="276" w:lineRule="auto"/>
        <w:ind w:left="678" w:right="707" w:firstLine="566"/>
        <w:jc w:val="both"/>
        <w:rPr>
          <w:color w:val="404040" w:themeColor="text1" w:themeTint="BF"/>
        </w:rPr>
      </w:pPr>
      <w:r w:rsidRPr="00B03583">
        <w:rPr>
          <w:color w:val="404040" w:themeColor="text1" w:themeTint="BF"/>
        </w:rPr>
        <w:t>Целью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инвестирования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средств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накоплений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размещения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средств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резервов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для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Фонда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является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максимизация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доходности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соответствующих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инвестиционных</w:t>
      </w:r>
      <w:r w:rsidRPr="00B03583">
        <w:rPr>
          <w:color w:val="404040" w:themeColor="text1" w:themeTint="BF"/>
          <w:spacing w:val="-5"/>
        </w:rPr>
        <w:t xml:space="preserve"> </w:t>
      </w:r>
      <w:r w:rsidRPr="00B03583">
        <w:rPr>
          <w:color w:val="404040" w:themeColor="text1" w:themeTint="BF"/>
        </w:rPr>
        <w:t>портфелей</w:t>
      </w:r>
      <w:r w:rsidRPr="00B03583">
        <w:rPr>
          <w:color w:val="404040" w:themeColor="text1" w:themeTint="BF"/>
          <w:spacing w:val="-5"/>
        </w:rPr>
        <w:t xml:space="preserve"> </w:t>
      </w:r>
      <w:r w:rsidRPr="00B03583">
        <w:rPr>
          <w:color w:val="404040" w:themeColor="text1" w:themeTint="BF"/>
        </w:rPr>
        <w:t>с</w:t>
      </w:r>
      <w:r w:rsidRPr="00B03583">
        <w:rPr>
          <w:color w:val="404040" w:themeColor="text1" w:themeTint="BF"/>
          <w:spacing w:val="-7"/>
        </w:rPr>
        <w:t xml:space="preserve"> </w:t>
      </w:r>
      <w:r w:rsidRPr="00B03583">
        <w:rPr>
          <w:color w:val="404040" w:themeColor="text1" w:themeTint="BF"/>
        </w:rPr>
        <w:t>учетом</w:t>
      </w:r>
      <w:r w:rsidRPr="00B03583">
        <w:rPr>
          <w:color w:val="404040" w:themeColor="text1" w:themeTint="BF"/>
          <w:spacing w:val="-7"/>
        </w:rPr>
        <w:t xml:space="preserve"> </w:t>
      </w:r>
      <w:r w:rsidRPr="00B03583">
        <w:rPr>
          <w:color w:val="404040" w:themeColor="text1" w:themeTint="BF"/>
        </w:rPr>
        <w:t>установленных</w:t>
      </w:r>
      <w:r w:rsidRPr="00B03583">
        <w:rPr>
          <w:color w:val="404040" w:themeColor="text1" w:themeTint="BF"/>
          <w:spacing w:val="-5"/>
        </w:rPr>
        <w:t xml:space="preserve"> </w:t>
      </w:r>
      <w:r w:rsidRPr="00B03583">
        <w:rPr>
          <w:color w:val="404040" w:themeColor="text1" w:themeTint="BF"/>
        </w:rPr>
        <w:t>ограничений</w:t>
      </w:r>
      <w:r w:rsidRPr="00B03583">
        <w:rPr>
          <w:color w:val="404040" w:themeColor="text1" w:themeTint="BF"/>
          <w:spacing w:val="-5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-8"/>
        </w:rPr>
        <w:t xml:space="preserve"> </w:t>
      </w:r>
      <w:r w:rsidRPr="00B03583">
        <w:rPr>
          <w:color w:val="404040" w:themeColor="text1" w:themeTint="BF"/>
        </w:rPr>
        <w:t>принятых</w:t>
      </w:r>
      <w:r w:rsidRPr="00B03583">
        <w:rPr>
          <w:color w:val="404040" w:themeColor="text1" w:themeTint="BF"/>
          <w:spacing w:val="-4"/>
        </w:rPr>
        <w:t xml:space="preserve"> </w:t>
      </w:r>
      <w:r w:rsidRPr="00B03583">
        <w:rPr>
          <w:color w:val="404040" w:themeColor="text1" w:themeTint="BF"/>
        </w:rPr>
        <w:t>(принимаемых)</w:t>
      </w:r>
      <w:r w:rsidRPr="00B03583">
        <w:rPr>
          <w:color w:val="404040" w:themeColor="text1" w:themeTint="BF"/>
          <w:spacing w:val="-67"/>
        </w:rPr>
        <w:t xml:space="preserve"> </w:t>
      </w:r>
      <w:r w:rsidRPr="00B03583">
        <w:rPr>
          <w:color w:val="404040" w:themeColor="text1" w:themeTint="BF"/>
        </w:rPr>
        <w:t>рисков. Для достижения данной цели Фонд осуществляет управление активами, в которые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размещаются средства</w:t>
      </w:r>
      <w:r w:rsidRPr="00B03583">
        <w:rPr>
          <w:color w:val="404040" w:themeColor="text1" w:themeTint="BF"/>
          <w:spacing w:val="-4"/>
        </w:rPr>
        <w:t xml:space="preserve"> </w:t>
      </w:r>
      <w:r w:rsidRPr="00B03583">
        <w:rPr>
          <w:color w:val="404040" w:themeColor="text1" w:themeTint="BF"/>
        </w:rPr>
        <w:t>пенсионных накоплений и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резервов.</w:t>
      </w:r>
    </w:p>
    <w:p w14:paraId="5950C944" w14:textId="77777777" w:rsidR="006355FB" w:rsidRPr="00B03583" w:rsidRDefault="00FC23E0">
      <w:pPr>
        <w:pStyle w:val="a3"/>
        <w:spacing w:line="276" w:lineRule="auto"/>
        <w:ind w:left="678" w:right="710" w:firstLine="566"/>
        <w:jc w:val="both"/>
        <w:rPr>
          <w:color w:val="404040" w:themeColor="text1" w:themeTint="BF"/>
        </w:rPr>
      </w:pPr>
      <w:r w:rsidRPr="00B03583">
        <w:rPr>
          <w:color w:val="404040" w:themeColor="text1" w:themeTint="BF"/>
        </w:rPr>
        <w:t>Первоначальным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этапом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инвестиционного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процесса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является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утверждение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Советом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директоров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Инвестиционной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стратегии</w:t>
      </w:r>
      <w:r w:rsidRPr="00B03583">
        <w:rPr>
          <w:color w:val="404040" w:themeColor="text1" w:themeTint="BF"/>
          <w:spacing w:val="-3"/>
        </w:rPr>
        <w:t xml:space="preserve"> </w:t>
      </w:r>
      <w:r w:rsidRPr="00B03583">
        <w:rPr>
          <w:color w:val="404040" w:themeColor="text1" w:themeTint="BF"/>
        </w:rPr>
        <w:t>Фонда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–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документа,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определяющего в</w:t>
      </w:r>
      <w:r w:rsidRPr="00B03583">
        <w:rPr>
          <w:color w:val="404040" w:themeColor="text1" w:themeTint="BF"/>
          <w:spacing w:val="-3"/>
        </w:rPr>
        <w:t xml:space="preserve"> </w:t>
      </w:r>
      <w:r w:rsidRPr="00B03583">
        <w:rPr>
          <w:color w:val="404040" w:themeColor="text1" w:themeTint="BF"/>
        </w:rPr>
        <w:t>том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числе:</w:t>
      </w:r>
    </w:p>
    <w:p w14:paraId="0B4622A8" w14:textId="77777777" w:rsidR="006355FB" w:rsidRPr="00B03583" w:rsidRDefault="00FC23E0" w:rsidP="007724A7">
      <w:pPr>
        <w:pStyle w:val="a3"/>
        <w:spacing w:line="273" w:lineRule="auto"/>
        <w:ind w:left="1386" w:right="704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виды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активов,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которые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могут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размещаться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накоплений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 резервов</w:t>
      </w:r>
      <w:r w:rsidRPr="00B03583">
        <w:rPr>
          <w:color w:val="404040" w:themeColor="text1" w:themeTint="BF"/>
          <w:spacing w:val="-3"/>
        </w:rPr>
        <w:t xml:space="preserve"> </w:t>
      </w:r>
      <w:r w:rsidRPr="00B03583">
        <w:rPr>
          <w:color w:val="404040" w:themeColor="text1" w:themeTint="BF"/>
        </w:rPr>
        <w:t>Фонда;</w:t>
      </w:r>
    </w:p>
    <w:p w14:paraId="1CAC2F32" w14:textId="77777777" w:rsidR="006355FB" w:rsidRPr="00B03583" w:rsidRDefault="00FC23E0" w:rsidP="007724A7">
      <w:pPr>
        <w:pStyle w:val="a3"/>
        <w:spacing w:before="4" w:line="273" w:lineRule="auto"/>
        <w:ind w:left="1386" w:right="709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виды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допустимых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сделок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активами,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которые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могут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размещаться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накоплений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резервов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фонда,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ограничения</w:t>
      </w:r>
      <w:r w:rsidRPr="00B03583">
        <w:rPr>
          <w:color w:val="404040" w:themeColor="text1" w:themeTint="BF"/>
          <w:spacing w:val="1"/>
        </w:rPr>
        <w:t xml:space="preserve"> </w:t>
      </w:r>
      <w:r w:rsidR="00F30906" w:rsidRPr="00B03583">
        <w:rPr>
          <w:color w:val="404040" w:themeColor="text1" w:themeTint="BF"/>
        </w:rPr>
        <w:t xml:space="preserve">на </w:t>
      </w:r>
      <w:r w:rsidR="007724A7" w:rsidRPr="00B03583">
        <w:rPr>
          <w:color w:val="404040" w:themeColor="text1" w:themeTint="BF"/>
        </w:rPr>
        <w:t xml:space="preserve">условия сделок </w:t>
      </w:r>
      <w:r w:rsidRPr="00B03583">
        <w:rPr>
          <w:color w:val="404040" w:themeColor="text1" w:themeTint="BF"/>
        </w:rPr>
        <w:t>с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ними;</w:t>
      </w:r>
    </w:p>
    <w:p w14:paraId="149B526E" w14:textId="77777777" w:rsidR="006355FB" w:rsidRPr="00B03583" w:rsidRDefault="00FC23E0" w:rsidP="007724A7">
      <w:pPr>
        <w:pStyle w:val="a3"/>
        <w:spacing w:before="4" w:line="276" w:lineRule="auto"/>
        <w:ind w:left="1386" w:right="705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целевую структуру активов Фонда, отражающую целевое (оптимальное) соотношение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целевой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доходности и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рисков.</w:t>
      </w:r>
    </w:p>
    <w:p w14:paraId="25B60175" w14:textId="77777777" w:rsidR="006355FB" w:rsidRPr="00B03583" w:rsidRDefault="00FC23E0" w:rsidP="007724A7">
      <w:pPr>
        <w:pStyle w:val="a3"/>
        <w:spacing w:line="276" w:lineRule="auto"/>
        <w:ind w:left="709" w:right="703" w:hanging="32"/>
        <w:jc w:val="both"/>
        <w:rPr>
          <w:color w:val="404040" w:themeColor="text1" w:themeTint="BF"/>
        </w:rPr>
      </w:pPr>
      <w:r w:rsidRPr="00B03583">
        <w:rPr>
          <w:color w:val="404040" w:themeColor="text1" w:themeTint="BF"/>
        </w:rPr>
        <w:t>При</w:t>
      </w:r>
      <w:r w:rsidRPr="00B03583">
        <w:rPr>
          <w:color w:val="404040" w:themeColor="text1" w:themeTint="BF"/>
          <w:spacing w:val="19"/>
        </w:rPr>
        <w:t xml:space="preserve"> </w:t>
      </w:r>
      <w:r w:rsidRPr="00B03583">
        <w:rPr>
          <w:color w:val="404040" w:themeColor="text1" w:themeTint="BF"/>
        </w:rPr>
        <w:t>определении</w:t>
      </w:r>
      <w:r w:rsidRPr="00B03583">
        <w:rPr>
          <w:color w:val="404040" w:themeColor="text1" w:themeTint="BF"/>
          <w:spacing w:val="19"/>
        </w:rPr>
        <w:t xml:space="preserve"> </w:t>
      </w:r>
      <w:r w:rsidRPr="00B03583">
        <w:rPr>
          <w:color w:val="404040" w:themeColor="text1" w:themeTint="BF"/>
        </w:rPr>
        <w:t>инвестиционной</w:t>
      </w:r>
      <w:r w:rsidRPr="00B03583">
        <w:rPr>
          <w:color w:val="404040" w:themeColor="text1" w:themeTint="BF"/>
          <w:spacing w:val="19"/>
        </w:rPr>
        <w:t xml:space="preserve"> </w:t>
      </w:r>
      <w:r w:rsidRPr="00B03583">
        <w:rPr>
          <w:color w:val="404040" w:themeColor="text1" w:themeTint="BF"/>
        </w:rPr>
        <w:t>стратегии</w:t>
      </w:r>
      <w:r w:rsidRPr="00B03583">
        <w:rPr>
          <w:color w:val="404040" w:themeColor="text1" w:themeTint="BF"/>
          <w:spacing w:val="17"/>
        </w:rPr>
        <w:t xml:space="preserve"> </w:t>
      </w:r>
      <w:r w:rsidRPr="00B03583">
        <w:rPr>
          <w:color w:val="404040" w:themeColor="text1" w:themeTint="BF"/>
        </w:rPr>
        <w:t>Фонд</w:t>
      </w:r>
      <w:r w:rsidRPr="00B03583">
        <w:rPr>
          <w:color w:val="404040" w:themeColor="text1" w:themeTint="BF"/>
          <w:spacing w:val="18"/>
        </w:rPr>
        <w:t xml:space="preserve"> </w:t>
      </w:r>
      <w:r w:rsidRPr="00B03583">
        <w:rPr>
          <w:color w:val="404040" w:themeColor="text1" w:themeTint="BF"/>
        </w:rPr>
        <w:t>оценивает</w:t>
      </w:r>
      <w:r w:rsidRPr="00B03583">
        <w:rPr>
          <w:color w:val="404040" w:themeColor="text1" w:themeTint="BF"/>
          <w:spacing w:val="19"/>
        </w:rPr>
        <w:t xml:space="preserve"> </w:t>
      </w:r>
      <w:r w:rsidRPr="00B03583">
        <w:rPr>
          <w:color w:val="404040" w:themeColor="text1" w:themeTint="BF"/>
        </w:rPr>
        <w:t>текущую</w:t>
      </w:r>
      <w:r w:rsidRPr="00B03583">
        <w:rPr>
          <w:color w:val="404040" w:themeColor="text1" w:themeTint="BF"/>
          <w:spacing w:val="19"/>
        </w:rPr>
        <w:t xml:space="preserve"> </w:t>
      </w:r>
      <w:r w:rsidRPr="00B03583">
        <w:rPr>
          <w:color w:val="404040" w:themeColor="text1" w:themeTint="BF"/>
        </w:rPr>
        <w:t>экономическую</w:t>
      </w:r>
      <w:r w:rsidRPr="00B03583">
        <w:rPr>
          <w:color w:val="404040" w:themeColor="text1" w:themeTint="BF"/>
          <w:spacing w:val="-65"/>
        </w:rPr>
        <w:t xml:space="preserve"> </w:t>
      </w:r>
      <w:r w:rsidRPr="00B03583">
        <w:rPr>
          <w:color w:val="404040" w:themeColor="text1" w:themeTint="BF"/>
        </w:rPr>
        <w:t>конъюнктуру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прогноз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ее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изменения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на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ближайший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финансовый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год,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риски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вложения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денежных средств в активы, ожидаемую доходность вложений с учетом ограничений рисков.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Виды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допустимых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сделок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 активами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 ограничения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по объемам</w:t>
      </w:r>
      <w:r w:rsidRPr="00B03583">
        <w:rPr>
          <w:color w:val="404040" w:themeColor="text1" w:themeTint="BF"/>
          <w:spacing w:val="68"/>
        </w:rPr>
        <w:t xml:space="preserve"> </w:t>
      </w:r>
      <w:r w:rsidRPr="00B03583">
        <w:rPr>
          <w:color w:val="404040" w:themeColor="text1" w:themeTint="BF"/>
        </w:rPr>
        <w:t>сделок</w:t>
      </w:r>
      <w:r w:rsidRPr="00B03583">
        <w:rPr>
          <w:color w:val="404040" w:themeColor="text1" w:themeTint="BF"/>
          <w:spacing w:val="69"/>
        </w:rPr>
        <w:t xml:space="preserve"> </w:t>
      </w:r>
      <w:r w:rsidRPr="00B03583">
        <w:rPr>
          <w:color w:val="404040" w:themeColor="text1" w:themeTint="BF"/>
        </w:rPr>
        <w:t>(вложений</w:t>
      </w:r>
      <w:r w:rsidRPr="00B03583">
        <w:rPr>
          <w:color w:val="404040" w:themeColor="text1" w:themeTint="BF"/>
          <w:spacing w:val="69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активы)</w:t>
      </w:r>
      <w:r w:rsidRPr="00B03583">
        <w:rPr>
          <w:color w:val="404040" w:themeColor="text1" w:themeTint="BF"/>
          <w:spacing w:val="23"/>
        </w:rPr>
        <w:t xml:space="preserve"> </w:t>
      </w:r>
      <w:r w:rsidRPr="00B03583">
        <w:rPr>
          <w:color w:val="404040" w:themeColor="text1" w:themeTint="BF"/>
        </w:rPr>
        <w:t>соответствуют</w:t>
      </w:r>
      <w:r w:rsidRPr="00B03583">
        <w:rPr>
          <w:color w:val="404040" w:themeColor="text1" w:themeTint="BF"/>
          <w:spacing w:val="24"/>
        </w:rPr>
        <w:t xml:space="preserve"> </w:t>
      </w:r>
      <w:r w:rsidRPr="00B03583">
        <w:rPr>
          <w:color w:val="404040" w:themeColor="text1" w:themeTint="BF"/>
        </w:rPr>
        <w:t>требованиям</w:t>
      </w:r>
      <w:r w:rsidRPr="00B03583">
        <w:rPr>
          <w:color w:val="404040" w:themeColor="text1" w:themeTint="BF"/>
          <w:spacing w:val="24"/>
        </w:rPr>
        <w:t xml:space="preserve"> </w:t>
      </w:r>
      <w:r w:rsidRPr="00B03583">
        <w:rPr>
          <w:color w:val="404040" w:themeColor="text1" w:themeTint="BF"/>
        </w:rPr>
        <w:t>Положения</w:t>
      </w:r>
      <w:r w:rsidRPr="00B03583">
        <w:rPr>
          <w:color w:val="404040" w:themeColor="text1" w:themeTint="BF"/>
          <w:spacing w:val="25"/>
        </w:rPr>
        <w:t xml:space="preserve"> </w:t>
      </w:r>
      <w:r w:rsidRPr="00B03583">
        <w:rPr>
          <w:color w:val="404040" w:themeColor="text1" w:themeTint="BF"/>
        </w:rPr>
        <w:t>Банка</w:t>
      </w:r>
      <w:r w:rsidRPr="00B03583">
        <w:rPr>
          <w:color w:val="404040" w:themeColor="text1" w:themeTint="BF"/>
          <w:spacing w:val="23"/>
        </w:rPr>
        <w:t xml:space="preserve"> </w:t>
      </w:r>
      <w:r w:rsidRPr="00B03583">
        <w:rPr>
          <w:color w:val="404040" w:themeColor="text1" w:themeTint="BF"/>
        </w:rPr>
        <w:t>России</w:t>
      </w:r>
      <w:r w:rsidRPr="00B03583">
        <w:rPr>
          <w:color w:val="404040" w:themeColor="text1" w:themeTint="BF"/>
          <w:spacing w:val="27"/>
        </w:rPr>
        <w:t xml:space="preserve"> </w:t>
      </w:r>
      <w:r w:rsidRPr="00B03583">
        <w:rPr>
          <w:color w:val="404040" w:themeColor="text1" w:themeTint="BF"/>
        </w:rPr>
        <w:t>от</w:t>
      </w:r>
      <w:r w:rsidRPr="00B03583">
        <w:rPr>
          <w:color w:val="404040" w:themeColor="text1" w:themeTint="BF"/>
          <w:spacing w:val="24"/>
        </w:rPr>
        <w:t xml:space="preserve"> </w:t>
      </w:r>
      <w:r w:rsidRPr="00B03583">
        <w:rPr>
          <w:color w:val="404040" w:themeColor="text1" w:themeTint="BF"/>
        </w:rPr>
        <w:t>01.03.2017</w:t>
      </w:r>
      <w:r w:rsidRPr="00B03583">
        <w:rPr>
          <w:color w:val="404040" w:themeColor="text1" w:themeTint="BF"/>
          <w:spacing w:val="23"/>
        </w:rPr>
        <w:t xml:space="preserve"> </w:t>
      </w:r>
      <w:r w:rsidRPr="00B03583">
        <w:rPr>
          <w:color w:val="404040" w:themeColor="text1" w:themeTint="BF"/>
        </w:rPr>
        <w:t>№</w:t>
      </w:r>
      <w:r w:rsidRPr="00B03583">
        <w:rPr>
          <w:color w:val="404040" w:themeColor="text1" w:themeTint="BF"/>
          <w:spacing w:val="3"/>
        </w:rPr>
        <w:t xml:space="preserve"> </w:t>
      </w:r>
      <w:r w:rsidRPr="00B03583">
        <w:rPr>
          <w:color w:val="404040" w:themeColor="text1" w:themeTint="BF"/>
        </w:rPr>
        <w:t>580-П,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Указания</w:t>
      </w:r>
      <w:r w:rsidRPr="00B03583">
        <w:rPr>
          <w:color w:val="404040" w:themeColor="text1" w:themeTint="BF"/>
          <w:spacing w:val="8"/>
        </w:rPr>
        <w:t xml:space="preserve"> </w:t>
      </w:r>
      <w:r w:rsidRPr="00B03583">
        <w:rPr>
          <w:color w:val="404040" w:themeColor="text1" w:themeTint="BF"/>
        </w:rPr>
        <w:t>Банка</w:t>
      </w:r>
      <w:r w:rsidRPr="00B03583">
        <w:rPr>
          <w:color w:val="404040" w:themeColor="text1" w:themeTint="BF"/>
          <w:spacing w:val="7"/>
        </w:rPr>
        <w:t xml:space="preserve"> </w:t>
      </w:r>
      <w:r w:rsidRPr="00B03583">
        <w:rPr>
          <w:color w:val="404040" w:themeColor="text1" w:themeTint="BF"/>
        </w:rPr>
        <w:t>России</w:t>
      </w:r>
      <w:r w:rsidRPr="00B03583">
        <w:rPr>
          <w:color w:val="404040" w:themeColor="text1" w:themeTint="BF"/>
          <w:spacing w:val="6"/>
        </w:rPr>
        <w:t xml:space="preserve"> </w:t>
      </w:r>
      <w:r w:rsidRPr="00B03583">
        <w:rPr>
          <w:color w:val="404040" w:themeColor="text1" w:themeTint="BF"/>
        </w:rPr>
        <w:t>от</w:t>
      </w:r>
      <w:r w:rsidRPr="00B03583">
        <w:rPr>
          <w:color w:val="404040" w:themeColor="text1" w:themeTint="BF"/>
          <w:spacing w:val="10"/>
        </w:rPr>
        <w:t xml:space="preserve"> </w:t>
      </w:r>
      <w:r w:rsidRPr="00B03583">
        <w:rPr>
          <w:color w:val="404040" w:themeColor="text1" w:themeTint="BF"/>
        </w:rPr>
        <w:t>05.12.2019</w:t>
      </w:r>
      <w:r w:rsidRPr="00B03583">
        <w:rPr>
          <w:color w:val="404040" w:themeColor="text1" w:themeTint="BF"/>
          <w:spacing w:val="8"/>
        </w:rPr>
        <w:t xml:space="preserve"> </w:t>
      </w:r>
      <w:r w:rsidRPr="00B03583">
        <w:rPr>
          <w:color w:val="404040" w:themeColor="text1" w:themeTint="BF"/>
        </w:rPr>
        <w:t>№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5343-У</w:t>
      </w:r>
      <w:r w:rsidRPr="00B03583">
        <w:rPr>
          <w:color w:val="404040" w:themeColor="text1" w:themeTint="BF"/>
          <w:spacing w:val="1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6"/>
        </w:rPr>
        <w:t xml:space="preserve"> </w:t>
      </w:r>
      <w:r w:rsidRPr="00B03583">
        <w:rPr>
          <w:color w:val="404040" w:themeColor="text1" w:themeTint="BF"/>
        </w:rPr>
        <w:t>отражены</w:t>
      </w:r>
      <w:r w:rsidRPr="00B03583">
        <w:rPr>
          <w:color w:val="404040" w:themeColor="text1" w:themeTint="BF"/>
          <w:spacing w:val="11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5"/>
        </w:rPr>
        <w:t xml:space="preserve"> </w:t>
      </w:r>
      <w:r w:rsidRPr="00B03583">
        <w:rPr>
          <w:color w:val="404040" w:themeColor="text1" w:themeTint="BF"/>
        </w:rPr>
        <w:t>инвестиционных</w:t>
      </w:r>
      <w:r w:rsidRPr="00B03583">
        <w:rPr>
          <w:color w:val="404040" w:themeColor="text1" w:themeTint="BF"/>
          <w:spacing w:val="10"/>
        </w:rPr>
        <w:t xml:space="preserve"> </w:t>
      </w:r>
      <w:r w:rsidRPr="00B03583">
        <w:rPr>
          <w:color w:val="404040" w:themeColor="text1" w:themeTint="BF"/>
        </w:rPr>
        <w:t>декларациях.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Фондом</w:t>
      </w:r>
      <w:r w:rsidRPr="00B03583">
        <w:rPr>
          <w:color w:val="404040" w:themeColor="text1" w:themeTint="BF"/>
          <w:spacing w:val="65"/>
        </w:rPr>
        <w:t xml:space="preserve"> </w:t>
      </w:r>
      <w:r w:rsidRPr="00B03583">
        <w:rPr>
          <w:color w:val="404040" w:themeColor="text1" w:themeTint="BF"/>
        </w:rPr>
        <w:t>дополнительно</w:t>
      </w:r>
      <w:r w:rsidRPr="00B03583">
        <w:rPr>
          <w:color w:val="404040" w:themeColor="text1" w:themeTint="BF"/>
          <w:spacing w:val="65"/>
        </w:rPr>
        <w:t xml:space="preserve"> </w:t>
      </w:r>
      <w:r w:rsidRPr="00B03583">
        <w:rPr>
          <w:color w:val="404040" w:themeColor="text1" w:themeTint="BF"/>
        </w:rPr>
        <w:t>устанавливаются</w:t>
      </w:r>
      <w:r w:rsidRPr="00B03583">
        <w:rPr>
          <w:color w:val="404040" w:themeColor="text1" w:themeTint="BF"/>
          <w:spacing w:val="63"/>
        </w:rPr>
        <w:t xml:space="preserve"> </w:t>
      </w:r>
      <w:r w:rsidRPr="00B03583">
        <w:rPr>
          <w:color w:val="404040" w:themeColor="text1" w:themeTint="BF"/>
        </w:rPr>
        <w:t>следующие</w:t>
      </w:r>
      <w:r w:rsidRPr="00B03583">
        <w:rPr>
          <w:color w:val="404040" w:themeColor="text1" w:themeTint="BF"/>
          <w:spacing w:val="62"/>
        </w:rPr>
        <w:t xml:space="preserve"> </w:t>
      </w:r>
      <w:r w:rsidRPr="00B03583">
        <w:rPr>
          <w:color w:val="404040" w:themeColor="text1" w:themeTint="BF"/>
        </w:rPr>
        <w:t>ограничения</w:t>
      </w:r>
      <w:r w:rsidRPr="00B03583">
        <w:rPr>
          <w:color w:val="404040" w:themeColor="text1" w:themeTint="BF"/>
          <w:spacing w:val="63"/>
        </w:rPr>
        <w:t xml:space="preserve"> </w:t>
      </w:r>
      <w:r w:rsidRPr="00B03583">
        <w:rPr>
          <w:color w:val="404040" w:themeColor="text1" w:themeTint="BF"/>
        </w:rPr>
        <w:t>на</w:t>
      </w:r>
      <w:r w:rsidRPr="00B03583">
        <w:rPr>
          <w:color w:val="404040" w:themeColor="text1" w:themeTint="BF"/>
          <w:spacing w:val="64"/>
        </w:rPr>
        <w:t xml:space="preserve"> </w:t>
      </w:r>
      <w:r w:rsidRPr="00B03583">
        <w:rPr>
          <w:color w:val="404040" w:themeColor="text1" w:themeTint="BF"/>
        </w:rPr>
        <w:t>активы</w:t>
      </w:r>
      <w:r w:rsidRPr="00B03583">
        <w:rPr>
          <w:color w:val="404040" w:themeColor="text1" w:themeTint="BF"/>
          <w:spacing w:val="62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64"/>
        </w:rPr>
        <w:t xml:space="preserve"> </w:t>
      </w:r>
      <w:r w:rsidRPr="00B03583">
        <w:rPr>
          <w:color w:val="404040" w:themeColor="text1" w:themeTint="BF"/>
        </w:rPr>
        <w:t>сделки</w:t>
      </w:r>
      <w:r w:rsidRPr="00B03583">
        <w:rPr>
          <w:color w:val="404040" w:themeColor="text1" w:themeTint="BF"/>
          <w:spacing w:val="63"/>
        </w:rPr>
        <w:t xml:space="preserve"> </w:t>
      </w:r>
      <w:r w:rsidRPr="00B03583">
        <w:rPr>
          <w:color w:val="404040" w:themeColor="text1" w:themeTint="BF"/>
        </w:rPr>
        <w:t>с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активами,</w:t>
      </w:r>
      <w:r w:rsidRPr="00B03583">
        <w:rPr>
          <w:color w:val="404040" w:themeColor="text1" w:themeTint="BF"/>
          <w:spacing w:val="23"/>
        </w:rPr>
        <w:t xml:space="preserve"> </w:t>
      </w:r>
      <w:r w:rsidRPr="00B03583">
        <w:rPr>
          <w:color w:val="404040" w:themeColor="text1" w:themeTint="BF"/>
        </w:rPr>
        <w:t>в</w:t>
      </w:r>
      <w:r w:rsidRPr="00B03583">
        <w:rPr>
          <w:color w:val="404040" w:themeColor="text1" w:themeTint="BF"/>
          <w:spacing w:val="20"/>
        </w:rPr>
        <w:t xml:space="preserve"> </w:t>
      </w:r>
      <w:r w:rsidRPr="00B03583">
        <w:rPr>
          <w:color w:val="404040" w:themeColor="text1" w:themeTint="BF"/>
        </w:rPr>
        <w:t>которые</w:t>
      </w:r>
      <w:r w:rsidRPr="00B03583">
        <w:rPr>
          <w:color w:val="404040" w:themeColor="text1" w:themeTint="BF"/>
          <w:spacing w:val="20"/>
        </w:rPr>
        <w:t xml:space="preserve"> </w:t>
      </w:r>
      <w:r w:rsidRPr="00B03583">
        <w:rPr>
          <w:color w:val="404040" w:themeColor="text1" w:themeTint="BF"/>
        </w:rPr>
        <w:t>могут</w:t>
      </w:r>
      <w:r w:rsidRPr="00B03583">
        <w:rPr>
          <w:color w:val="404040" w:themeColor="text1" w:themeTint="BF"/>
          <w:spacing w:val="21"/>
        </w:rPr>
        <w:t xml:space="preserve"> </w:t>
      </w:r>
      <w:r w:rsidRPr="00B03583">
        <w:rPr>
          <w:color w:val="404040" w:themeColor="text1" w:themeTint="BF"/>
        </w:rPr>
        <w:t>размещаться</w:t>
      </w:r>
      <w:r w:rsidRPr="00B03583">
        <w:rPr>
          <w:color w:val="404040" w:themeColor="text1" w:themeTint="BF"/>
          <w:spacing w:val="22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Pr="00B03583">
        <w:rPr>
          <w:color w:val="404040" w:themeColor="text1" w:themeTint="BF"/>
          <w:spacing w:val="22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21"/>
        </w:rPr>
        <w:t xml:space="preserve"> </w:t>
      </w:r>
      <w:r w:rsidRPr="00B03583">
        <w:rPr>
          <w:color w:val="404040" w:themeColor="text1" w:themeTint="BF"/>
        </w:rPr>
        <w:t>накоплений</w:t>
      </w:r>
      <w:r w:rsidRPr="00B03583">
        <w:rPr>
          <w:color w:val="404040" w:themeColor="text1" w:themeTint="BF"/>
          <w:spacing w:val="21"/>
        </w:rPr>
        <w:t xml:space="preserve"> </w:t>
      </w:r>
      <w:r w:rsidRPr="00B03583">
        <w:rPr>
          <w:color w:val="404040" w:themeColor="text1" w:themeTint="BF"/>
        </w:rPr>
        <w:t>и</w:t>
      </w:r>
      <w:r w:rsidRPr="00B03583">
        <w:rPr>
          <w:color w:val="404040" w:themeColor="text1" w:themeTint="BF"/>
          <w:spacing w:val="21"/>
        </w:rPr>
        <w:t xml:space="preserve"> </w:t>
      </w:r>
      <w:r w:rsidRPr="00B03583">
        <w:rPr>
          <w:color w:val="404040" w:themeColor="text1" w:themeTint="BF"/>
        </w:rPr>
        <w:t>средства</w:t>
      </w:r>
      <w:r w:rsidR="007724A7" w:rsidRPr="00B03583">
        <w:rPr>
          <w:color w:val="404040" w:themeColor="text1" w:themeTint="BF"/>
        </w:rPr>
        <w:t xml:space="preserve"> </w:t>
      </w:r>
      <w:r w:rsidRPr="00B03583">
        <w:rPr>
          <w:color w:val="404040" w:themeColor="text1" w:themeTint="BF"/>
        </w:rPr>
        <w:t>пенсионных</w:t>
      </w:r>
      <w:r w:rsidRPr="00B03583">
        <w:rPr>
          <w:color w:val="404040" w:themeColor="text1" w:themeTint="BF"/>
          <w:spacing w:val="-4"/>
        </w:rPr>
        <w:t xml:space="preserve"> </w:t>
      </w:r>
      <w:r w:rsidRPr="00B03583">
        <w:rPr>
          <w:color w:val="404040" w:themeColor="text1" w:themeTint="BF"/>
        </w:rPr>
        <w:t>резервов:</w:t>
      </w:r>
    </w:p>
    <w:p w14:paraId="5262A185" w14:textId="77777777" w:rsidR="006355FB" w:rsidRPr="00B03583" w:rsidRDefault="00FC23E0" w:rsidP="007724A7">
      <w:pPr>
        <w:pStyle w:val="a3"/>
        <w:spacing w:before="39" w:line="276" w:lineRule="auto"/>
        <w:ind w:left="1386" w:right="703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акции эмитентов могут входить в состав инвестиционного портфеля управляющей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 xml:space="preserve">компании, если они входят в состав Индекса </w:t>
      </w:r>
      <w:proofErr w:type="spellStart"/>
      <w:r w:rsidRPr="00B03583">
        <w:rPr>
          <w:color w:val="404040" w:themeColor="text1" w:themeTint="BF"/>
        </w:rPr>
        <w:t>МосБиржи</w:t>
      </w:r>
      <w:proofErr w:type="spellEnd"/>
      <w:r w:rsidRPr="00B03583">
        <w:rPr>
          <w:color w:val="404040" w:themeColor="text1" w:themeTint="BF"/>
        </w:rPr>
        <w:t xml:space="preserve">. </w:t>
      </w:r>
    </w:p>
    <w:p w14:paraId="2CDB581D" w14:textId="77777777" w:rsidR="006355FB" w:rsidRPr="00B03583" w:rsidRDefault="00FC23E0" w:rsidP="007724A7">
      <w:pPr>
        <w:pStyle w:val="a3"/>
        <w:spacing w:before="5" w:line="273" w:lineRule="auto"/>
        <w:ind w:left="1276" w:right="708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="007724A7" w:rsidRPr="00B03583">
        <w:rPr>
          <w:rFonts w:ascii="Times New Roman" w:hAnsi="Times New Roman"/>
          <w:color w:val="404040" w:themeColor="text1" w:themeTint="BF"/>
        </w:rPr>
        <w:t xml:space="preserve"> </w:t>
      </w:r>
      <w:r w:rsidRPr="00B03583">
        <w:rPr>
          <w:color w:val="404040" w:themeColor="text1" w:themeTint="BF"/>
        </w:rPr>
        <w:t>сделки</w:t>
      </w:r>
      <w:r w:rsidRPr="00B03583">
        <w:rPr>
          <w:color w:val="404040" w:themeColor="text1" w:themeTint="BF"/>
          <w:spacing w:val="1"/>
        </w:rPr>
        <w:t xml:space="preserve"> </w:t>
      </w:r>
      <w:r w:rsidR="000A78BF" w:rsidRPr="00B03583">
        <w:rPr>
          <w:color w:val="404040" w:themeColor="text1" w:themeTint="BF"/>
        </w:rPr>
        <w:t>РЕПО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могут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заключаться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только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на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организованных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торгах,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этом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 xml:space="preserve">контрагентом по договору </w:t>
      </w:r>
      <w:r w:rsidR="000A78BF" w:rsidRPr="00B03583">
        <w:rPr>
          <w:color w:val="404040" w:themeColor="text1" w:themeTint="BF"/>
        </w:rPr>
        <w:t>РЕПО</w:t>
      </w:r>
      <w:r w:rsidRPr="00B03583">
        <w:rPr>
          <w:color w:val="404040" w:themeColor="text1" w:themeTint="BF"/>
        </w:rPr>
        <w:t xml:space="preserve"> является центральный контрагент и ценные бумаги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соответствуют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требованиям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инвестиционной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декларации Фонда;</w:t>
      </w:r>
    </w:p>
    <w:p w14:paraId="75D0207B" w14:textId="77777777" w:rsidR="006355FB" w:rsidRPr="00B03583" w:rsidRDefault="00FC23E0" w:rsidP="007724A7">
      <w:pPr>
        <w:pStyle w:val="a3"/>
        <w:spacing w:before="4" w:line="276" w:lineRule="auto"/>
        <w:ind w:left="1386" w:right="704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совокупная стоимость средств кредитных организаций не должна превышать 30%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инвестиционного</w:t>
      </w:r>
      <w:r w:rsidRPr="00B03583">
        <w:rPr>
          <w:color w:val="404040" w:themeColor="text1" w:themeTint="BF"/>
          <w:spacing w:val="-3"/>
        </w:rPr>
        <w:t xml:space="preserve"> </w:t>
      </w:r>
      <w:r w:rsidRPr="00B03583">
        <w:rPr>
          <w:color w:val="404040" w:themeColor="text1" w:themeTint="BF"/>
        </w:rPr>
        <w:t>портфеля</w:t>
      </w:r>
      <w:r w:rsidRPr="00B03583">
        <w:rPr>
          <w:color w:val="404040" w:themeColor="text1" w:themeTint="BF"/>
          <w:spacing w:val="-1"/>
        </w:rPr>
        <w:t xml:space="preserve"> </w:t>
      </w:r>
      <w:r w:rsidRPr="00B03583">
        <w:rPr>
          <w:color w:val="404040" w:themeColor="text1" w:themeTint="BF"/>
        </w:rPr>
        <w:t>управляющей компании;</w:t>
      </w:r>
    </w:p>
    <w:p w14:paraId="4C7B079E" w14:textId="77777777" w:rsidR="006355FB" w:rsidRPr="00B03583" w:rsidRDefault="00FC23E0" w:rsidP="007724A7">
      <w:pPr>
        <w:pStyle w:val="a3"/>
        <w:spacing w:line="276" w:lineRule="auto"/>
        <w:ind w:left="1386" w:right="707" w:hanging="281"/>
        <w:jc w:val="both"/>
        <w:rPr>
          <w:color w:val="404040" w:themeColor="text1" w:themeTint="BF"/>
        </w:rPr>
      </w:pPr>
      <w:r w:rsidRPr="00B03583">
        <w:rPr>
          <w:rFonts w:ascii="Times New Roman" w:hAnsi="Times New Roman"/>
          <w:color w:val="404040" w:themeColor="text1" w:themeTint="BF"/>
        </w:rPr>
        <w:t>−</w:t>
      </w:r>
      <w:r w:rsidRPr="00B03583">
        <w:rPr>
          <w:rFonts w:ascii="Times New Roman" w:hAnsi="Times New Roman"/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управляющая компания может заключать сделки с ценными бумагами в РПС только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после получения согласия Фонда (не распространяется на сделки РПС связанные с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покупкой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облигаций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при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размещении/доразмещении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либо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погашении/выкупе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облигаций).</w:t>
      </w:r>
    </w:p>
    <w:p w14:paraId="26E018D5" w14:textId="77777777" w:rsidR="006355FB" w:rsidRPr="00B03583" w:rsidRDefault="00FC23E0" w:rsidP="007724A7">
      <w:pPr>
        <w:pStyle w:val="a3"/>
        <w:spacing w:before="72" w:line="276" w:lineRule="auto"/>
        <w:ind w:left="678" w:right="707" w:firstLine="427"/>
        <w:jc w:val="both"/>
        <w:rPr>
          <w:color w:val="404040" w:themeColor="text1" w:themeTint="BF"/>
        </w:rPr>
      </w:pPr>
      <w:r w:rsidRPr="00B03583">
        <w:rPr>
          <w:color w:val="404040" w:themeColor="text1" w:themeTint="BF"/>
        </w:rPr>
        <w:t>Инвестиционная стратегия Фонда ежегодно актуализируется, требования и ограничения,</w:t>
      </w:r>
      <w:r w:rsidRPr="00B03583">
        <w:rPr>
          <w:color w:val="404040" w:themeColor="text1" w:themeTint="BF"/>
          <w:spacing w:val="-66"/>
        </w:rPr>
        <w:t xml:space="preserve"> </w:t>
      </w:r>
      <w:r w:rsidRPr="00B03583">
        <w:rPr>
          <w:color w:val="404040" w:themeColor="text1" w:themeTint="BF"/>
        </w:rPr>
        <w:t>накладываемые Инвестиционной стратегией, закрепляются в инвестиционных декларациях</w:t>
      </w:r>
      <w:r w:rsidRPr="00B03583">
        <w:rPr>
          <w:color w:val="404040" w:themeColor="text1" w:themeTint="BF"/>
          <w:spacing w:val="1"/>
        </w:rPr>
        <w:t xml:space="preserve"> </w:t>
      </w:r>
      <w:r w:rsidRPr="00B03583">
        <w:rPr>
          <w:color w:val="404040" w:themeColor="text1" w:themeTint="BF"/>
        </w:rPr>
        <w:t>управляющих</w:t>
      </w:r>
      <w:r w:rsidRPr="00B03583">
        <w:rPr>
          <w:color w:val="404040" w:themeColor="text1" w:themeTint="BF"/>
          <w:spacing w:val="-2"/>
        </w:rPr>
        <w:t xml:space="preserve"> </w:t>
      </w:r>
      <w:r w:rsidRPr="00B03583">
        <w:rPr>
          <w:color w:val="404040" w:themeColor="text1" w:themeTint="BF"/>
        </w:rPr>
        <w:t>компаний.</w:t>
      </w:r>
    </w:p>
    <w:p w14:paraId="7E257473" w14:textId="77777777" w:rsidR="006355FB" w:rsidRPr="00B03583" w:rsidRDefault="006355FB" w:rsidP="007724A7">
      <w:pPr>
        <w:pStyle w:val="a3"/>
        <w:spacing w:before="3"/>
        <w:jc w:val="both"/>
        <w:rPr>
          <w:color w:val="404040" w:themeColor="text1" w:themeTint="BF"/>
          <w:sz w:val="26"/>
        </w:rPr>
      </w:pPr>
    </w:p>
    <w:p w14:paraId="7DF14E25" w14:textId="77777777" w:rsidR="0015598B" w:rsidRPr="00B03583" w:rsidRDefault="0015598B">
      <w:pPr>
        <w:pStyle w:val="a3"/>
        <w:spacing w:before="3"/>
        <w:rPr>
          <w:color w:val="404040" w:themeColor="text1" w:themeTint="BF"/>
          <w:sz w:val="26"/>
        </w:rPr>
      </w:pPr>
    </w:p>
    <w:p w14:paraId="2D4FD0B6" w14:textId="77777777" w:rsidR="0015598B" w:rsidRDefault="0015598B">
      <w:pPr>
        <w:pStyle w:val="a3"/>
        <w:spacing w:before="3"/>
        <w:rPr>
          <w:sz w:val="26"/>
        </w:rPr>
      </w:pPr>
    </w:p>
    <w:p w14:paraId="6A06A5EA" w14:textId="77777777" w:rsidR="00A50C1B" w:rsidRDefault="00A50C1B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</w:p>
    <w:p w14:paraId="1C17ED02" w14:textId="77777777" w:rsidR="006355FB" w:rsidRP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lastRenderedPageBreak/>
        <w:t>Разрешенные классы активов и целевая структура активов Фонда на</w:t>
      </w:r>
    </w:p>
    <w:p w14:paraId="5CEC27E3" w14:textId="77777777" w:rsidR="006355FB" w:rsidRP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>202</w:t>
      </w:r>
      <w:r w:rsidR="00F30906" w:rsidRPr="00EA7DA6">
        <w:rPr>
          <w:b/>
          <w:color w:val="008080"/>
          <w:sz w:val="20"/>
          <w:szCs w:val="20"/>
        </w:rPr>
        <w:t>6</w:t>
      </w:r>
      <w:r w:rsidRPr="00EA7DA6">
        <w:rPr>
          <w:b/>
          <w:color w:val="008080"/>
          <w:sz w:val="20"/>
          <w:szCs w:val="20"/>
        </w:rPr>
        <w:t xml:space="preserve"> год в соответствии со стратегией инвестирования</w:t>
      </w:r>
    </w:p>
    <w:p w14:paraId="6AC31836" w14:textId="77777777" w:rsidR="006355FB" w:rsidRPr="00EA7DA6" w:rsidRDefault="006355FB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</w:p>
    <w:p w14:paraId="5984CD45" w14:textId="77777777" w:rsid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>Основная инвестиционная стратегия пенсионных накоплений (ПН)</w:t>
      </w:r>
    </w:p>
    <w:p w14:paraId="56C3C15B" w14:textId="77777777" w:rsidR="006355FB" w:rsidRP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 xml:space="preserve"> - Базовая инвестиционная стратегия ПН,</w:t>
      </w:r>
    </w:p>
    <w:p w14:paraId="2EDDB27A" w14:textId="77777777" w:rsid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>Основные инвестиционные стратегии пенсионных резервов (ПР)</w:t>
      </w:r>
    </w:p>
    <w:p w14:paraId="0A14B3D0" w14:textId="77777777" w:rsid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 xml:space="preserve">– Базовая инвестиционная стратегия ПР, </w:t>
      </w:r>
    </w:p>
    <w:p w14:paraId="5742DC99" w14:textId="77777777" w:rsidR="00EA7DA6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 xml:space="preserve">Базовая 2 инвестиционная стратегия ПР, </w:t>
      </w:r>
    </w:p>
    <w:p w14:paraId="3B15AF9A" w14:textId="77777777" w:rsidR="006355FB" w:rsidRDefault="00FC23E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  <w:r w:rsidRPr="00EA7DA6">
        <w:rPr>
          <w:b/>
          <w:color w:val="008080"/>
          <w:sz w:val="20"/>
          <w:szCs w:val="20"/>
        </w:rPr>
        <w:t>ДС Базовая инвестиционная стратегия ПР.</w:t>
      </w:r>
    </w:p>
    <w:p w14:paraId="49FE6E80" w14:textId="77777777" w:rsidR="00BF1180" w:rsidRDefault="00BF1180" w:rsidP="00EA7DA6">
      <w:pPr>
        <w:pStyle w:val="a3"/>
        <w:spacing w:before="8"/>
        <w:jc w:val="center"/>
        <w:rPr>
          <w:b/>
          <w:color w:val="008080"/>
          <w:sz w:val="20"/>
          <w:szCs w:val="20"/>
        </w:rPr>
      </w:pPr>
    </w:p>
    <w:tbl>
      <w:tblPr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2140"/>
        <w:gridCol w:w="3785"/>
      </w:tblGrid>
      <w:tr w:rsidR="00A22917" w:rsidRPr="00A22917" w14:paraId="71432BCA" w14:textId="77777777" w:rsidTr="00E36AE8">
        <w:trPr>
          <w:trHeight w:val="2925"/>
        </w:trPr>
        <w:tc>
          <w:tcPr>
            <w:tcW w:w="4560" w:type="dxa"/>
            <w:shd w:val="clear" w:color="auto" w:fill="auto"/>
            <w:hideMark/>
          </w:tcPr>
          <w:p w14:paraId="386BB55F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Наименование актива</w:t>
            </w:r>
          </w:p>
        </w:tc>
        <w:tc>
          <w:tcPr>
            <w:tcW w:w="2140" w:type="dxa"/>
            <w:shd w:val="clear" w:color="auto" w:fill="auto"/>
            <w:hideMark/>
          </w:tcPr>
          <w:p w14:paraId="18905612" w14:textId="77777777" w:rsidR="00E36AE8" w:rsidRDefault="00E36AE8" w:rsidP="00E36A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3BF13B3F" w14:textId="77777777" w:rsidR="00E36AE8" w:rsidRDefault="00E36AE8" w:rsidP="00E36A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1719DD59" w14:textId="7442A643" w:rsidR="00A22917" w:rsidRPr="00A22917" w:rsidRDefault="00A22917" w:rsidP="00E36A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t>Базовая инвестиционная стратегия ПН (максимальная доля в портфеле)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564D5F05" w14:textId="77777777" w:rsidR="00A22917" w:rsidRPr="00A22917" w:rsidRDefault="00A22917" w:rsidP="00E36A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t>Базовая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инвестиционная стратегия ПР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Базовая 2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инвестиционная стратегия ПР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ДС Базовая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инвестиционная стратегия ПР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(максимальная</w:t>
            </w:r>
            <w:r w:rsidRPr="00A22917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br/>
              <w:t>доля в портфеле)</w:t>
            </w:r>
          </w:p>
        </w:tc>
      </w:tr>
      <w:tr w:rsidR="00A22917" w:rsidRPr="00A22917" w14:paraId="7C903C8A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38F3D094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1.     Государственные ценные бумаги Российской Федерации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C95A2B1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138F53D8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A22917" w:rsidRPr="00A22917" w14:paraId="3AF15FC3" w14:textId="77777777" w:rsidTr="00E36AE8">
        <w:trPr>
          <w:trHeight w:val="765"/>
        </w:trPr>
        <w:tc>
          <w:tcPr>
            <w:tcW w:w="4560" w:type="dxa"/>
            <w:shd w:val="clear" w:color="auto" w:fill="auto"/>
            <w:hideMark/>
          </w:tcPr>
          <w:p w14:paraId="446F6761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     Государственные ценные бумаги субъектов Российской Федерации, муниципальные облигации, при этом: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0DDC7CA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574631CD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40%</w:t>
            </w:r>
          </w:p>
        </w:tc>
      </w:tr>
      <w:tr w:rsidR="00A22917" w:rsidRPr="00A22917" w14:paraId="0F1D4A40" w14:textId="77777777" w:rsidTr="00E36AE8">
        <w:trPr>
          <w:trHeight w:val="300"/>
        </w:trPr>
        <w:tc>
          <w:tcPr>
            <w:tcW w:w="4560" w:type="dxa"/>
            <w:shd w:val="clear" w:color="auto" w:fill="auto"/>
            <w:hideMark/>
          </w:tcPr>
          <w:p w14:paraId="58F39C6C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2.1 Муниципальные облигации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4C4BA3F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5A29C2A6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10%</w:t>
            </w:r>
          </w:p>
        </w:tc>
      </w:tr>
      <w:tr w:rsidR="00A22917" w:rsidRPr="00A22917" w14:paraId="699EF1D5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71B63AF6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3.Облигации российских эмитентов (за исключением облигаций, указанных в п.1, п.2)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7700D4AB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75EB9423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A22917" w:rsidRPr="00A22917" w14:paraId="4C3EBDA0" w14:textId="77777777" w:rsidTr="00E36AE8">
        <w:trPr>
          <w:trHeight w:val="765"/>
        </w:trPr>
        <w:tc>
          <w:tcPr>
            <w:tcW w:w="4560" w:type="dxa"/>
            <w:shd w:val="clear" w:color="auto" w:fill="auto"/>
            <w:hideMark/>
          </w:tcPr>
          <w:p w14:paraId="11B0609B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4. Облигации российских эмитентов, выпуск которых идентифицирован как зеленый, адаптационный, устойчивый или социальный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3676E730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0A8FDDDA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A22917" w:rsidRPr="00A22917" w14:paraId="1687E53D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1DFD7D44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5. Акции эмитентов, входящие в расчет Индекса </w:t>
            </w:r>
            <w:proofErr w:type="spellStart"/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МосБиржи</w:t>
            </w:r>
            <w:proofErr w:type="spellEnd"/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0BB60E3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4F80AD5F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10%</w:t>
            </w:r>
          </w:p>
        </w:tc>
      </w:tr>
      <w:tr w:rsidR="00A22917" w:rsidRPr="00A22917" w14:paraId="40101A1A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767212D3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6. Паи индексных инвестиционных фондов, Паи (акции, доли) паевых инвестиционных фондов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149154D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3BC2ED23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A22917" w:rsidRPr="00A22917" w14:paraId="1F959323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44C62EBD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7. Ценные бумаги международных финансовых организаций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1FBD398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34F113E9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A22917" w:rsidRPr="00A22917" w14:paraId="7956F641" w14:textId="77777777" w:rsidTr="00E36AE8">
        <w:trPr>
          <w:trHeight w:val="300"/>
        </w:trPr>
        <w:tc>
          <w:tcPr>
            <w:tcW w:w="4560" w:type="dxa"/>
            <w:shd w:val="clear" w:color="auto" w:fill="auto"/>
            <w:hideMark/>
          </w:tcPr>
          <w:p w14:paraId="483A66C1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8. Ипотечные ценные бумаги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0384C712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17D59F8F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A22917" w:rsidRPr="00A22917" w14:paraId="4BD4E082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18321C7E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9. Средства в рублях на счетах в кредитных организациях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557BD16F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0A1E69FE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A22917" w:rsidRPr="00A22917" w14:paraId="51AF08DC" w14:textId="77777777" w:rsidTr="00E36AE8">
        <w:trPr>
          <w:trHeight w:val="510"/>
        </w:trPr>
        <w:tc>
          <w:tcPr>
            <w:tcW w:w="4560" w:type="dxa"/>
            <w:shd w:val="clear" w:color="auto" w:fill="auto"/>
            <w:hideMark/>
          </w:tcPr>
          <w:p w14:paraId="40B5ADA6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10. Депозиты в рублях в кредитных организациях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4D38BA7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12A1510D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A22917" w:rsidRPr="00A22917" w14:paraId="76286769" w14:textId="77777777" w:rsidTr="00E36AE8">
        <w:trPr>
          <w:trHeight w:val="765"/>
        </w:trPr>
        <w:tc>
          <w:tcPr>
            <w:tcW w:w="4560" w:type="dxa"/>
            <w:shd w:val="clear" w:color="auto" w:fill="auto"/>
            <w:hideMark/>
          </w:tcPr>
          <w:p w14:paraId="42F3AF0C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11. Средства в иностранной валюте на счетах в кредитной организации (кроме валют "недружественных" стран)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98F3202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257E379E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5%</w:t>
            </w:r>
          </w:p>
        </w:tc>
      </w:tr>
      <w:tr w:rsidR="00A22917" w:rsidRPr="00A22917" w14:paraId="3CFFFF66" w14:textId="77777777" w:rsidTr="00E36AE8">
        <w:trPr>
          <w:trHeight w:val="765"/>
        </w:trPr>
        <w:tc>
          <w:tcPr>
            <w:tcW w:w="4560" w:type="dxa"/>
            <w:shd w:val="clear" w:color="auto" w:fill="auto"/>
            <w:hideMark/>
          </w:tcPr>
          <w:p w14:paraId="07141E22" w14:textId="77777777" w:rsidR="00A22917" w:rsidRPr="00A22917" w:rsidRDefault="00A22917" w:rsidP="00A22917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12. Депозиты в иностранной валюте в кредитных организациях (кроме валют “недружественных” стран)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29D4C2EA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14:paraId="62464633" w14:textId="77777777" w:rsidR="00A22917" w:rsidRPr="00A22917" w:rsidRDefault="00A22917" w:rsidP="00A22917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A22917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</w:tbl>
    <w:p w14:paraId="40E2103F" w14:textId="70FEAA68" w:rsidR="00BF1180" w:rsidRPr="00EA7DA6" w:rsidRDefault="00BF1180" w:rsidP="00BF1180">
      <w:pPr>
        <w:pStyle w:val="a3"/>
        <w:spacing w:before="8"/>
        <w:jc w:val="both"/>
        <w:rPr>
          <w:b/>
          <w:color w:val="008080"/>
          <w:sz w:val="20"/>
          <w:szCs w:val="20"/>
        </w:rPr>
      </w:pPr>
    </w:p>
    <w:p w14:paraId="3B96225E" w14:textId="77777777" w:rsidR="006355FB" w:rsidRDefault="006355FB" w:rsidP="00EA7DA6">
      <w:pPr>
        <w:pStyle w:val="a3"/>
        <w:spacing w:before="6"/>
        <w:jc w:val="center"/>
        <w:rPr>
          <w:b/>
          <w:sz w:val="6"/>
        </w:rPr>
      </w:pPr>
    </w:p>
    <w:p w14:paraId="09B1560E" w14:textId="77777777" w:rsidR="006355FB" w:rsidRPr="000A78BF" w:rsidRDefault="006355FB">
      <w:pPr>
        <w:jc w:val="center"/>
        <w:rPr>
          <w:sz w:val="20"/>
          <w:szCs w:val="20"/>
        </w:rPr>
        <w:sectPr w:rsidR="006355FB" w:rsidRPr="000A78BF">
          <w:pgSz w:w="11910" w:h="16840"/>
          <w:pgMar w:top="640" w:right="140" w:bottom="280" w:left="740" w:header="720" w:footer="720" w:gutter="0"/>
          <w:cols w:space="720"/>
        </w:sectPr>
      </w:pPr>
    </w:p>
    <w:p w14:paraId="733F0BC2" w14:textId="77777777" w:rsidR="006355FB" w:rsidRPr="000A78BF" w:rsidRDefault="006355FB">
      <w:pPr>
        <w:pStyle w:val="a3"/>
        <w:spacing w:before="8"/>
        <w:rPr>
          <w:b/>
          <w:sz w:val="20"/>
          <w:szCs w:val="20"/>
        </w:rPr>
      </w:pPr>
    </w:p>
    <w:p w14:paraId="54B305EA" w14:textId="77777777" w:rsidR="006355FB" w:rsidRPr="00B03583" w:rsidRDefault="00FC23E0" w:rsidP="00B03583">
      <w:pPr>
        <w:rPr>
          <w:b/>
          <w:color w:val="008080"/>
          <w:sz w:val="20"/>
          <w:szCs w:val="20"/>
        </w:rPr>
      </w:pPr>
      <w:r w:rsidRPr="00B03583">
        <w:rPr>
          <w:b/>
          <w:color w:val="008080"/>
          <w:sz w:val="20"/>
          <w:szCs w:val="20"/>
        </w:rPr>
        <w:t>Дополнительные инвестиционные стратегии пенсионных резервов:</w:t>
      </w:r>
    </w:p>
    <w:p w14:paraId="72F6C656" w14:textId="77777777" w:rsidR="006355FB" w:rsidRPr="00B03583" w:rsidRDefault="006355FB" w:rsidP="00B03583">
      <w:pPr>
        <w:rPr>
          <w:b/>
          <w:color w:val="008080"/>
          <w:sz w:val="20"/>
          <w:szCs w:val="20"/>
        </w:rPr>
      </w:pPr>
    </w:p>
    <w:p w14:paraId="0023B367" w14:textId="77777777" w:rsidR="006355FB" w:rsidRPr="00B03583" w:rsidRDefault="00FC23E0" w:rsidP="00EA7DA6">
      <w:pPr>
        <w:jc w:val="center"/>
        <w:rPr>
          <w:b/>
          <w:color w:val="008080"/>
          <w:sz w:val="20"/>
          <w:szCs w:val="20"/>
        </w:rPr>
      </w:pPr>
      <w:r w:rsidRPr="00B03583">
        <w:rPr>
          <w:b/>
          <w:color w:val="008080"/>
          <w:sz w:val="20"/>
          <w:szCs w:val="20"/>
        </w:rPr>
        <w:t>МГД5 инвестиционная стратегия ПР</w:t>
      </w:r>
    </w:p>
    <w:p w14:paraId="74A62818" w14:textId="77777777" w:rsidR="00B03583" w:rsidRDefault="00B03583" w:rsidP="00B03583">
      <w:pPr>
        <w:spacing w:line="267" w:lineRule="exact"/>
        <w:jc w:val="both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Excel.Sheet.12 "\\\\nnpf.local\\data\\Moscow\\Инвестиционный отдел\\Елясова О.А\\9. На сайт\\Информация о процессе инвестирования средств ПН и размещения средств ПР\\Лист Microsoft Excel.xlsx" "Лист1!R2C8:R14C9" \a \f 4 \h  \* MERGEFORMAT </w:instrText>
      </w:r>
      <w:r>
        <w:fldChar w:fldCharType="separate"/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6749"/>
        <w:gridCol w:w="3736"/>
      </w:tblGrid>
      <w:tr w:rsidR="00B03583" w:rsidRPr="00B03583" w14:paraId="371DE22D" w14:textId="77777777" w:rsidTr="00B03583">
        <w:trPr>
          <w:trHeight w:val="2925"/>
        </w:trPr>
        <w:tc>
          <w:tcPr>
            <w:tcW w:w="6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5D0AF8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br/>
            </w:r>
          </w:p>
          <w:p w14:paraId="7D7AA3AE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64E65760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73B2DFCE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3040CB30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40BFB2E6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t>Наименование актива</w:t>
            </w: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3EFFD1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2CE8BBBC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7776E7B8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27A4888A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6E16D1FF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7C8328DB" w14:textId="77777777" w:rsid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4EC35843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t>МГД5 инвестиционная стратегия ПР (максимальная доля в портфеле)</w:t>
            </w:r>
          </w:p>
        </w:tc>
      </w:tr>
      <w:tr w:rsidR="00B03583" w:rsidRPr="00B03583" w14:paraId="678988B8" w14:textId="77777777" w:rsidTr="00B03583">
        <w:trPr>
          <w:trHeight w:val="60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7A980A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77A3E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B03583" w:rsidRPr="00B03583" w14:paraId="5304F518" w14:textId="77777777" w:rsidTr="00B03583">
        <w:trPr>
          <w:trHeight w:val="82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4EDFC6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Государственные ценные бумаги субъектов Российской Федерации, муниципальные облигации, при этом: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B7C1B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40%</w:t>
            </w:r>
          </w:p>
        </w:tc>
      </w:tr>
      <w:tr w:rsidR="00B03583" w:rsidRPr="00B03583" w14:paraId="5D980D2B" w14:textId="77777777" w:rsidTr="00B03583">
        <w:trPr>
          <w:trHeight w:val="58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3B7908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2.1 Муниципальные облигации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EDD2F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10%</w:t>
            </w:r>
          </w:p>
        </w:tc>
      </w:tr>
      <w:tr w:rsidR="00B03583" w:rsidRPr="00B03583" w14:paraId="5CC181A8" w14:textId="77777777" w:rsidTr="00B03583">
        <w:trPr>
          <w:trHeight w:val="5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3E2292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Облигации российских эмитентов (за исключением облигаций, указанных в п.2)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C0F69B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B03583" w:rsidRPr="00B03583" w14:paraId="4F290050" w14:textId="77777777" w:rsidTr="00B03583">
        <w:trPr>
          <w:trHeight w:val="63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97F2B6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Акции эмитентов, входящие в расчет Индекса </w:t>
            </w:r>
            <w:proofErr w:type="spellStart"/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МосБиржи</w:t>
            </w:r>
            <w:proofErr w:type="spellEnd"/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46DA15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02FB6E02" w14:textId="77777777" w:rsidTr="00B03583">
        <w:trPr>
          <w:trHeight w:val="79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FDEF1A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5.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Паи индексных инвестиционных фондов, Паи (акции, доли) паевых инвестиционных фондов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AA3D2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50825ED7" w14:textId="77777777" w:rsidTr="00B03583">
        <w:trPr>
          <w:trHeight w:val="5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B7F77B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6.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Ценные бумаги международных финансовых организаций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9DD85D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4C3DB9F0" w14:textId="77777777" w:rsidTr="00B03583">
        <w:trPr>
          <w:trHeight w:val="33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7D485B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7.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Ипотечные ценные бумаги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D9443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5255B4B4" w14:textId="77777777" w:rsidTr="00B03583">
        <w:trPr>
          <w:trHeight w:val="55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12FFBB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8.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Средства в рублях на счетах в кредитных организациях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99714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B03583" w:rsidRPr="00B03583" w14:paraId="373259C0" w14:textId="77777777" w:rsidTr="00B03583">
        <w:trPr>
          <w:trHeight w:val="55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024072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9.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Депозиты в рублях в кредитных организациях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6F3433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B03583" w:rsidRPr="00B03583" w14:paraId="4734901E" w14:textId="77777777" w:rsidTr="00B03583">
        <w:trPr>
          <w:trHeight w:val="96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A9F0B2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Средства в иностранной валюте на счетах в кредитной организации (кроме валют недружественных” стран) 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39D41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15%</w:t>
            </w:r>
          </w:p>
        </w:tc>
      </w:tr>
      <w:tr w:rsidR="00B03583" w:rsidRPr="00B03583" w14:paraId="382EB1AA" w14:textId="77777777" w:rsidTr="00B03583">
        <w:trPr>
          <w:trHeight w:val="8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89B001" w14:textId="77777777" w:rsidR="00B03583" w:rsidRPr="00B03583" w:rsidRDefault="00B03583" w:rsidP="00B035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11.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Депозиты в иностранной валюте в кредитных организациях (кроме валют “недружественных” стран)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1FFCA" w14:textId="77777777" w:rsidR="00B03583" w:rsidRPr="00B03583" w:rsidRDefault="00B03583" w:rsidP="00B035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15%</w:t>
            </w:r>
          </w:p>
        </w:tc>
      </w:tr>
    </w:tbl>
    <w:p w14:paraId="726292F5" w14:textId="77777777" w:rsidR="00B03583" w:rsidRDefault="00B03583" w:rsidP="00B03583">
      <w:pPr>
        <w:spacing w:line="267" w:lineRule="exact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4AACB6CA" w14:textId="77777777" w:rsidR="003F4EF4" w:rsidRPr="00EA7DA6" w:rsidRDefault="003F4EF4" w:rsidP="003F4EF4">
      <w:pPr>
        <w:rPr>
          <w:color w:val="008080"/>
          <w:sz w:val="20"/>
          <w:szCs w:val="20"/>
        </w:rPr>
      </w:pPr>
    </w:p>
    <w:p w14:paraId="5EED51E7" w14:textId="77777777" w:rsidR="00B03583" w:rsidRDefault="003F4EF4" w:rsidP="003F4EF4">
      <w:pPr>
        <w:ind w:left="1017" w:right="624"/>
        <w:jc w:val="center"/>
        <w:rPr>
          <w:color w:val="008080"/>
          <w:sz w:val="20"/>
          <w:szCs w:val="20"/>
        </w:rPr>
      </w:pPr>
      <w:r w:rsidRPr="00EA7DA6">
        <w:rPr>
          <w:color w:val="008080"/>
          <w:sz w:val="20"/>
          <w:szCs w:val="20"/>
        </w:rPr>
        <w:tab/>
      </w:r>
    </w:p>
    <w:p w14:paraId="516BE1AF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32BDDD74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38E56DAD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54AD6B13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1BF1A0F4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1FB87D72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03B138DD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40DF1D79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4A7A84B9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594277E9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65FF0327" w14:textId="77777777" w:rsidR="00B03583" w:rsidRDefault="00B03583" w:rsidP="003F4EF4">
      <w:pPr>
        <w:ind w:left="1017" w:right="624"/>
        <w:jc w:val="center"/>
        <w:rPr>
          <w:b/>
          <w:color w:val="008080"/>
          <w:sz w:val="24"/>
        </w:rPr>
      </w:pPr>
    </w:p>
    <w:p w14:paraId="0328E363" w14:textId="77777777" w:rsidR="00B51693" w:rsidRDefault="00B51693" w:rsidP="003F4EF4">
      <w:pPr>
        <w:ind w:left="1017" w:right="624"/>
        <w:jc w:val="center"/>
        <w:rPr>
          <w:b/>
          <w:color w:val="008080"/>
          <w:sz w:val="20"/>
        </w:rPr>
      </w:pPr>
    </w:p>
    <w:p w14:paraId="52A7F5E0" w14:textId="77777777" w:rsidR="006355FB" w:rsidRPr="00B51693" w:rsidRDefault="00FC23E0" w:rsidP="003F4EF4">
      <w:pPr>
        <w:ind w:left="1017" w:right="624"/>
        <w:jc w:val="center"/>
        <w:rPr>
          <w:b/>
          <w:color w:val="008080"/>
          <w:sz w:val="16"/>
          <w:szCs w:val="20"/>
        </w:rPr>
      </w:pPr>
      <w:r w:rsidRPr="00B51693">
        <w:rPr>
          <w:b/>
          <w:color w:val="008080"/>
          <w:sz w:val="20"/>
        </w:rPr>
        <w:lastRenderedPageBreak/>
        <w:t>ДС МГД5 инвестиционная стратегия ПР</w:t>
      </w:r>
    </w:p>
    <w:p w14:paraId="109072F7" w14:textId="77777777" w:rsidR="006355FB" w:rsidRPr="00B51693" w:rsidRDefault="006355FB">
      <w:pPr>
        <w:pStyle w:val="a3"/>
        <w:spacing w:before="11"/>
        <w:rPr>
          <w:b/>
          <w:color w:val="008080"/>
          <w:sz w:val="16"/>
          <w:szCs w:val="20"/>
        </w:rPr>
      </w:pPr>
    </w:p>
    <w:p w14:paraId="10971705" w14:textId="77777777" w:rsidR="005C7836" w:rsidRPr="00B51693" w:rsidRDefault="005C7836">
      <w:pPr>
        <w:pStyle w:val="a3"/>
        <w:spacing w:before="3"/>
        <w:rPr>
          <w:rFonts w:asciiTheme="minorHAnsi" w:eastAsiaTheme="minorHAnsi" w:hAnsiTheme="minorHAnsi" w:cstheme="minorBidi"/>
          <w:sz w:val="18"/>
        </w:rPr>
      </w:pPr>
      <w:r w:rsidRPr="00B51693">
        <w:rPr>
          <w:sz w:val="18"/>
        </w:rPr>
        <w:fldChar w:fldCharType="begin"/>
      </w:r>
      <w:r w:rsidRPr="00B51693">
        <w:rPr>
          <w:sz w:val="18"/>
        </w:rPr>
        <w:instrText xml:space="preserve"> LINK Excel.SheetMacroEnabled.12 "\\\\nnpf.local\\data\\Moscow\\Инвестиционный отдел\\YesIn\\NNPF\\Портфель_ННПФ_Yes.xlsm" "Лист1!R5C1:R18C2" \a \f 4 \h </w:instrText>
      </w:r>
      <w:r w:rsidR="00B51693" w:rsidRPr="00B51693">
        <w:rPr>
          <w:sz w:val="18"/>
        </w:rPr>
        <w:instrText xml:space="preserve"> \* MERGEFORMAT </w:instrText>
      </w:r>
      <w:r w:rsidRPr="00B51693">
        <w:rPr>
          <w:sz w:val="18"/>
        </w:rPr>
        <w:fldChar w:fldCharType="separate"/>
      </w:r>
    </w:p>
    <w:p w14:paraId="0F5AD184" w14:textId="77777777" w:rsidR="00B03583" w:rsidRPr="000A78BF" w:rsidRDefault="005C7836">
      <w:pPr>
        <w:pStyle w:val="a3"/>
        <w:spacing w:before="3"/>
        <w:rPr>
          <w:b/>
          <w:sz w:val="20"/>
          <w:szCs w:val="20"/>
        </w:rPr>
      </w:pPr>
      <w:r w:rsidRPr="00B51693">
        <w:rPr>
          <w:b/>
          <w:sz w:val="16"/>
          <w:szCs w:val="20"/>
        </w:rPr>
        <w:fldChar w:fldCharType="end"/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6749"/>
        <w:gridCol w:w="3736"/>
      </w:tblGrid>
      <w:tr w:rsidR="00B03583" w:rsidRPr="00B03583" w14:paraId="3E963628" w14:textId="77777777" w:rsidTr="00B51693">
        <w:trPr>
          <w:trHeight w:val="635"/>
        </w:trPr>
        <w:tc>
          <w:tcPr>
            <w:tcW w:w="6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47F5C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br/>
            </w:r>
          </w:p>
          <w:p w14:paraId="5536AE0F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2DC053C9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465B13CC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2F13416B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</w:p>
          <w:p w14:paraId="10C16437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t>Наименование актива</w:t>
            </w:r>
          </w:p>
        </w:tc>
        <w:tc>
          <w:tcPr>
            <w:tcW w:w="373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E4A40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18E362E7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6655EFBD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09DB0BDE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3362EDD6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754AE855" w14:textId="77777777" w:rsid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</w:p>
          <w:p w14:paraId="55BFEA8E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</w:pPr>
            <w:r w:rsidRPr="00B03583">
              <w:rPr>
                <w:rFonts w:eastAsia="Times New Roman"/>
                <w:b/>
                <w:bCs/>
                <w:color w:val="008080"/>
                <w:sz w:val="18"/>
                <w:szCs w:val="18"/>
                <w:lang w:eastAsia="ru-RU"/>
              </w:rPr>
              <w:t>МГД5 инвестиционная стратегия ПР (максимальная доля в портфеле)</w:t>
            </w:r>
          </w:p>
        </w:tc>
      </w:tr>
      <w:tr w:rsidR="00B03583" w:rsidRPr="00B03583" w14:paraId="6226676B" w14:textId="77777777" w:rsidTr="00D22792">
        <w:trPr>
          <w:trHeight w:val="60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A87DF1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F43F20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B03583" w:rsidRPr="00B03583" w14:paraId="3B29B481" w14:textId="77777777" w:rsidTr="00D22792">
        <w:trPr>
          <w:trHeight w:val="82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5A67EF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Государственные ценные бумаги субъектов Российской Федерации, муниципальные облигации, при этом: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522387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%</w:t>
            </w:r>
          </w:p>
        </w:tc>
      </w:tr>
      <w:tr w:rsidR="00B03583" w:rsidRPr="00B03583" w14:paraId="438B07C0" w14:textId="77777777" w:rsidTr="00D22792">
        <w:trPr>
          <w:trHeight w:val="58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FE971F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2.1 Муниципальные облигации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86D6F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6BAF611F" w14:textId="77777777" w:rsidTr="00D22792">
        <w:trPr>
          <w:trHeight w:val="5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B53514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Облигации российских эмитентов (за исключением облигаций, указанных в п.2)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2226D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B03583" w:rsidRPr="00B03583" w14:paraId="2CE9DDB3" w14:textId="77777777" w:rsidTr="00D22792">
        <w:trPr>
          <w:trHeight w:val="63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2DE4F0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Акции эмитентов, входящие в расчет Индекса </w:t>
            </w:r>
            <w:proofErr w:type="spellStart"/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МосБиржи</w:t>
            </w:r>
            <w:proofErr w:type="spellEnd"/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49CA2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29C374DE" w14:textId="77777777" w:rsidTr="00D22792">
        <w:trPr>
          <w:trHeight w:val="79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EAF6C5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5.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Паи индексных инвестиционных фондов, Паи (акции, доли) паевых инвестиционных фондов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0995C5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1D1FBE68" w14:textId="77777777" w:rsidTr="00D22792">
        <w:trPr>
          <w:trHeight w:val="5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673B5E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6.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Ценные бумаги международных финансовых организаций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5D735D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00584E67" w14:textId="77777777" w:rsidTr="00D22792">
        <w:trPr>
          <w:trHeight w:val="33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D86CED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7.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Ипотечные ценные бумаги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D7B570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1FDD5A72" w14:textId="77777777" w:rsidTr="00D22792">
        <w:trPr>
          <w:trHeight w:val="55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C4682F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8.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Средства в рублях на счетах в кредитных организациях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DDB7B4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B03583" w:rsidRPr="00B03583" w14:paraId="32D5EBCE" w14:textId="77777777" w:rsidTr="00D22792">
        <w:trPr>
          <w:trHeight w:val="555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E38A07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9.</w:t>
            </w:r>
            <w:r w:rsidRPr="00B03583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     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Депозиты в рублях в кредитных организациях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2F45F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B03583" w:rsidRPr="00B03583" w14:paraId="0D235F14" w14:textId="77777777" w:rsidTr="00D22792">
        <w:trPr>
          <w:trHeight w:val="96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C40B16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10.  Средства в иностранной валюте на счетах в кредитной организации (кроме валют недружественных” стран) 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A2F40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%</w:t>
            </w:r>
          </w:p>
        </w:tc>
      </w:tr>
      <w:tr w:rsidR="00B03583" w:rsidRPr="00B03583" w14:paraId="6CC303E1" w14:textId="77777777" w:rsidTr="00D22792">
        <w:trPr>
          <w:trHeight w:val="810"/>
        </w:trPr>
        <w:tc>
          <w:tcPr>
            <w:tcW w:w="67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0337EB" w14:textId="77777777" w:rsidR="00B03583" w:rsidRPr="00B03583" w:rsidRDefault="00B03583" w:rsidP="00D22792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11.  Депозиты в иностранной валюте в кредитных организациях (кроме валют “недружественных” стран)</w:t>
            </w:r>
          </w:p>
        </w:tc>
        <w:tc>
          <w:tcPr>
            <w:tcW w:w="373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84E7F3" w14:textId="77777777" w:rsidR="00B03583" w:rsidRPr="00B03583" w:rsidRDefault="00B03583" w:rsidP="00D2279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5169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</w:t>
            </w:r>
            <w:r w:rsidRPr="00B03583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%</w:t>
            </w:r>
          </w:p>
        </w:tc>
      </w:tr>
    </w:tbl>
    <w:p w14:paraId="1078CE32" w14:textId="77777777" w:rsidR="007724A7" w:rsidRPr="000A78BF" w:rsidRDefault="007724A7">
      <w:pPr>
        <w:pStyle w:val="a3"/>
        <w:spacing w:before="3"/>
        <w:rPr>
          <w:b/>
          <w:sz w:val="20"/>
          <w:szCs w:val="20"/>
        </w:rPr>
      </w:pPr>
    </w:p>
    <w:p w14:paraId="058B0698" w14:textId="77777777" w:rsidR="003F4EF4" w:rsidRPr="000A78BF" w:rsidRDefault="003F4EF4">
      <w:pPr>
        <w:pStyle w:val="a3"/>
        <w:spacing w:before="3"/>
        <w:rPr>
          <w:b/>
          <w:sz w:val="20"/>
          <w:szCs w:val="20"/>
        </w:rPr>
      </w:pPr>
    </w:p>
    <w:p w14:paraId="4188B210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3423D62C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5DDC1EF7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609CC06C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788ECF24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19AD851A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30D7F503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67DF4144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7AD7AAFC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3EC78B38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0834BEFC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6A8F82A4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1E93B728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23E62A63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4FF4DBED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7FA5E344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1A0CB58C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749D697D" w14:textId="77777777" w:rsidR="00B51693" w:rsidRDefault="00B51693" w:rsidP="003F4EF4">
      <w:pPr>
        <w:ind w:left="1017" w:right="624"/>
        <w:jc w:val="center"/>
        <w:rPr>
          <w:b/>
          <w:color w:val="008080"/>
          <w:sz w:val="24"/>
        </w:rPr>
      </w:pPr>
    </w:p>
    <w:p w14:paraId="55E4D200" w14:textId="77777777" w:rsidR="006355FB" w:rsidRPr="00B51693" w:rsidRDefault="00DB4EBE" w:rsidP="003F4EF4">
      <w:pPr>
        <w:ind w:left="1017" w:right="624"/>
        <w:jc w:val="center"/>
        <w:rPr>
          <w:b/>
          <w:color w:val="008080"/>
        </w:rPr>
      </w:pPr>
      <w:r w:rsidRPr="00B51693">
        <w:rPr>
          <w:b/>
          <w:color w:val="008080"/>
        </w:rPr>
        <w:lastRenderedPageBreak/>
        <w:t>Д</w:t>
      </w:r>
      <w:r w:rsidR="00FC23E0" w:rsidRPr="00B51693">
        <w:rPr>
          <w:b/>
          <w:color w:val="008080"/>
        </w:rPr>
        <w:t>С Халяль инвестиционная стратегия ПР</w:t>
      </w:r>
    </w:p>
    <w:p w14:paraId="465931ED" w14:textId="77777777" w:rsidR="00507D78" w:rsidRDefault="00507D78" w:rsidP="003F4EF4">
      <w:pPr>
        <w:ind w:left="1017" w:right="624"/>
        <w:jc w:val="center"/>
        <w:rPr>
          <w:b/>
          <w:sz w:val="24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98486D" w:rsidRPr="0098486D" w14:paraId="642ACCEB" w14:textId="77777777" w:rsidTr="00B51693">
        <w:trPr>
          <w:trHeight w:val="1126"/>
        </w:trPr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D2876" w14:textId="77777777" w:rsidR="0098486D" w:rsidRPr="0098486D" w:rsidRDefault="0098486D" w:rsidP="00B516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  <w:r w:rsidRPr="0098486D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t>Наименование актива</w:t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62F20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</w:pPr>
            <w:r w:rsidRPr="0098486D">
              <w:rPr>
                <w:rFonts w:eastAsia="Times New Roman"/>
                <w:b/>
                <w:bCs/>
                <w:color w:val="008080"/>
                <w:sz w:val="18"/>
                <w:lang w:eastAsia="ru-RU"/>
              </w:rPr>
              <w:t>ДС Халяль инвестиционная стратегия ПР (максимальная доля в портфеле)</w:t>
            </w:r>
          </w:p>
        </w:tc>
      </w:tr>
      <w:tr w:rsidR="0098486D" w:rsidRPr="0098486D" w14:paraId="4D965547" w14:textId="77777777" w:rsidTr="00B51693">
        <w:trPr>
          <w:trHeight w:val="975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43B98" w14:textId="77777777" w:rsidR="0098486D" w:rsidRPr="0098486D" w:rsidRDefault="0098486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1.     Государственные ценные бумаги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F2976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14D3A609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27497" w14:textId="77777777" w:rsidR="0098486D" w:rsidRPr="0098486D" w:rsidRDefault="0098486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2.     Государственные ценные бумаги субъектов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F78A2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77431C91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95702D" w14:textId="7B754B38" w:rsidR="0098486D" w:rsidRPr="00EC7E9D" w:rsidRDefault="0098486D" w:rsidP="00EC7E9D">
            <w:pPr>
              <w:pStyle w:val="a4"/>
              <w:widowControl/>
              <w:numPr>
                <w:ilvl w:val="1"/>
                <w:numId w:val="7"/>
              </w:numPr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    Муниципальные облигации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D3E11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719F44D4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ABD365" w14:textId="5411DF24" w:rsidR="0098486D" w:rsidRPr="00EC7E9D" w:rsidRDefault="00EC7E9D" w:rsidP="00EC7E9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</w:t>
            </w:r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    Облигации российских эмитентов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9B91C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5AC3B2DF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07B2C" w14:textId="1FB2EF4D" w:rsidR="0098486D" w:rsidRPr="00EC7E9D" w:rsidRDefault="00EC7E9D" w:rsidP="00EC7E9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4</w:t>
            </w:r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.     Акции входящие в Индекс </w:t>
            </w:r>
            <w:proofErr w:type="spellStart"/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МосБиржи</w:t>
            </w:r>
            <w:proofErr w:type="spellEnd"/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 Исламских инвестиций, MXSHAR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1E7BB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98486D" w:rsidRPr="0098486D" w14:paraId="5F84F0C9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1E8DC" w14:textId="1053EAC9" w:rsidR="0098486D" w:rsidRPr="00EC7E9D" w:rsidRDefault="00EC7E9D" w:rsidP="00EC7E9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5</w:t>
            </w:r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 xml:space="preserve">.     Паи (акции, доли) </w:t>
            </w:r>
            <w:proofErr w:type="spellStart"/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ПИФов</w:t>
            </w:r>
            <w:proofErr w:type="spellEnd"/>
            <w:r w:rsidR="0098486D" w:rsidRP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, паи иностранных индексных инвестиционных фондов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EFD36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5FB5444F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625A4" w14:textId="31ACC73C" w:rsidR="0098486D" w:rsidRPr="0098486D" w:rsidRDefault="00EC7E9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6</w:t>
            </w:r>
            <w:r w:rsidR="0098486D"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    Ценные бумаги международных финансовых организаций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AEB728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723C1BB2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A6F2E" w14:textId="358F3B8C" w:rsidR="0098486D" w:rsidRPr="0098486D" w:rsidRDefault="00EC7E9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7</w:t>
            </w:r>
            <w:r w:rsidR="0098486D"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    Ипотечные ценные бумаги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80171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395B3D38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FF7F18" w14:textId="4BA64A71" w:rsidR="0098486D" w:rsidRPr="0098486D" w:rsidRDefault="00EC7E9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8</w:t>
            </w:r>
            <w:r w:rsidR="0098486D"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    Средства в рублях на счетах в кредитных организациях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B5FEA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100%</w:t>
            </w:r>
          </w:p>
        </w:tc>
      </w:tr>
      <w:tr w:rsidR="0098486D" w:rsidRPr="0098486D" w14:paraId="3C2B953E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8636F" w14:textId="06B4B0C6" w:rsidR="0098486D" w:rsidRPr="0098486D" w:rsidRDefault="00EC7E9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9</w:t>
            </w:r>
            <w:r w:rsidR="0098486D"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 Депозиты в рублях в кредитных организациях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B8E37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074AD571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94D61" w14:textId="3CA8831E" w:rsidR="0098486D" w:rsidRPr="0098486D" w:rsidRDefault="0098486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</w:t>
            </w:r>
            <w:r w:rsid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</w:t>
            </w: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 Средства в иностранной валюте на счетах в кредитной организации (кроме валют “недружественных” стран)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A7301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30%</w:t>
            </w:r>
          </w:p>
        </w:tc>
      </w:tr>
      <w:tr w:rsidR="0098486D" w:rsidRPr="0098486D" w14:paraId="78C34623" w14:textId="77777777" w:rsidTr="00B51693">
        <w:trPr>
          <w:trHeight w:val="300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B0EFD" w14:textId="4A9D0B0C" w:rsidR="0098486D" w:rsidRPr="0098486D" w:rsidRDefault="0098486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</w:t>
            </w:r>
            <w:r w:rsid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</w:t>
            </w: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 Депозиты в иностранной валюте в кредитных организациях (кроме валют “недружественных” стран)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AEFEE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  <w:tr w:rsidR="0098486D" w:rsidRPr="0098486D" w14:paraId="6B68399D" w14:textId="77777777" w:rsidTr="00B51693">
        <w:trPr>
          <w:trHeight w:val="476"/>
        </w:trPr>
        <w:tc>
          <w:tcPr>
            <w:tcW w:w="68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6B442" w14:textId="5638558E" w:rsidR="0098486D" w:rsidRPr="0098486D" w:rsidRDefault="0098486D" w:rsidP="0098486D">
            <w:pPr>
              <w:widowControl/>
              <w:autoSpaceDE/>
              <w:autoSpaceDN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1</w:t>
            </w:r>
            <w:r w:rsidR="00EC7E9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2</w:t>
            </w: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.  Драгоценные металлы на бирже, металлические банковские счета</w:t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E3871" w14:textId="77777777" w:rsidR="0098486D" w:rsidRPr="0098486D" w:rsidRDefault="0098486D" w:rsidP="0098486D">
            <w:pPr>
              <w:widowControl/>
              <w:autoSpaceDE/>
              <w:autoSpaceDN/>
              <w:jc w:val="center"/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98486D">
              <w:rPr>
                <w:rFonts w:eastAsia="Times New Roman"/>
                <w:color w:val="404040" w:themeColor="text1" w:themeTint="BF"/>
                <w:sz w:val="20"/>
                <w:szCs w:val="20"/>
                <w:lang w:eastAsia="ru-RU"/>
              </w:rPr>
              <w:t>0%</w:t>
            </w:r>
          </w:p>
        </w:tc>
      </w:tr>
    </w:tbl>
    <w:p w14:paraId="187731D3" w14:textId="77777777" w:rsidR="00507D78" w:rsidRPr="003F4EF4" w:rsidRDefault="00507D78" w:rsidP="00507D78">
      <w:pPr>
        <w:ind w:left="1017" w:right="624"/>
        <w:jc w:val="both"/>
        <w:rPr>
          <w:b/>
          <w:sz w:val="24"/>
        </w:rPr>
      </w:pPr>
    </w:p>
    <w:p w14:paraId="2FBF33CF" w14:textId="77777777" w:rsidR="00A57729" w:rsidRPr="000A78BF" w:rsidRDefault="00A57729" w:rsidP="00E01247">
      <w:pPr>
        <w:rPr>
          <w:sz w:val="20"/>
          <w:szCs w:val="20"/>
        </w:rPr>
      </w:pPr>
    </w:p>
    <w:sectPr w:rsidR="00A57729" w:rsidRPr="000A78BF">
      <w:pgSz w:w="11910" w:h="16840"/>
      <w:pgMar w:top="400" w:right="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657"/>
    <w:multiLevelType w:val="hybridMultilevel"/>
    <w:tmpl w:val="CDC6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BF7"/>
    <w:multiLevelType w:val="hybridMultilevel"/>
    <w:tmpl w:val="64941F44"/>
    <w:lvl w:ilvl="0" w:tplc="1F1266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77110F6"/>
    <w:multiLevelType w:val="hybridMultilevel"/>
    <w:tmpl w:val="5E344486"/>
    <w:lvl w:ilvl="0" w:tplc="1F1266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C0C06B8"/>
    <w:multiLevelType w:val="hybridMultilevel"/>
    <w:tmpl w:val="4D52B2B0"/>
    <w:lvl w:ilvl="0" w:tplc="1F1266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B7B26F6"/>
    <w:multiLevelType w:val="hybridMultilevel"/>
    <w:tmpl w:val="ADD2D942"/>
    <w:lvl w:ilvl="0" w:tplc="1F1266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23B7887"/>
    <w:multiLevelType w:val="hybridMultilevel"/>
    <w:tmpl w:val="4D52B2B0"/>
    <w:lvl w:ilvl="0" w:tplc="1F1266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5DD21810"/>
    <w:multiLevelType w:val="multilevel"/>
    <w:tmpl w:val="CA6064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B"/>
    <w:rsid w:val="000A78BF"/>
    <w:rsid w:val="0015598B"/>
    <w:rsid w:val="00385C6E"/>
    <w:rsid w:val="003F4EF4"/>
    <w:rsid w:val="00476F5B"/>
    <w:rsid w:val="00507D78"/>
    <w:rsid w:val="005C7836"/>
    <w:rsid w:val="006355FB"/>
    <w:rsid w:val="00663226"/>
    <w:rsid w:val="006E6E18"/>
    <w:rsid w:val="007724A7"/>
    <w:rsid w:val="007C7858"/>
    <w:rsid w:val="007F12C5"/>
    <w:rsid w:val="0098486D"/>
    <w:rsid w:val="009D4017"/>
    <w:rsid w:val="00A22917"/>
    <w:rsid w:val="00A50C1B"/>
    <w:rsid w:val="00A57729"/>
    <w:rsid w:val="00B03583"/>
    <w:rsid w:val="00B51693"/>
    <w:rsid w:val="00BF1180"/>
    <w:rsid w:val="00CC03D6"/>
    <w:rsid w:val="00DB4EBE"/>
    <w:rsid w:val="00DC4A03"/>
    <w:rsid w:val="00E01247"/>
    <w:rsid w:val="00E36AE8"/>
    <w:rsid w:val="00EA7DA6"/>
    <w:rsid w:val="00EC7E9D"/>
    <w:rsid w:val="00F30906"/>
    <w:rsid w:val="00F60EA8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B219"/>
  <w15:docId w15:val="{E47D690B-0B7C-48E6-8E29-0AE2AF54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C028-69B6-4CD6-B73E-A3BBB93C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0.0000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/>
  <cp:keywords/>
  <dc:description/>
  <cp:lastModifiedBy/>
  <cp:revision>1</cp:revision>
</cp:coreProperties>
</file>