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5FB" w:rsidRDefault="00FC23E0">
      <w:pPr>
        <w:spacing w:before="175"/>
        <w:ind w:left="3557"/>
        <w:rPr>
          <w:b/>
          <w:sz w:val="20"/>
        </w:rPr>
      </w:pPr>
      <w:r>
        <w:rPr>
          <w:noProof/>
        </w:rPr>
        <w:drawing>
          <wp:anchor distT="0" distB="0" distL="0" distR="0" simplePos="0" relativeHeight="15728640" behindDoc="0" locked="0" layoutInCell="1" allowOverlap="1">
            <wp:simplePos x="0" y="0"/>
            <wp:positionH relativeFrom="page">
              <wp:posOffset>889000</wp:posOffset>
            </wp:positionH>
            <wp:positionV relativeFrom="paragraph">
              <wp:posOffset>-928</wp:posOffset>
            </wp:positionV>
            <wp:extent cx="1054735" cy="46796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54735" cy="467969"/>
                    </a:xfrm>
                    <a:prstGeom prst="rect">
                      <a:avLst/>
                    </a:prstGeom>
                  </pic:spPr>
                </pic:pic>
              </a:graphicData>
            </a:graphic>
          </wp:anchor>
        </w:drawing>
      </w:r>
      <w:r>
        <w:rPr>
          <w:b/>
          <w:sz w:val="20"/>
        </w:rPr>
        <w:t>АКЦИОНЕРНОЕ</w:t>
      </w:r>
      <w:r>
        <w:rPr>
          <w:b/>
          <w:spacing w:val="-7"/>
          <w:sz w:val="20"/>
        </w:rPr>
        <w:t xml:space="preserve"> </w:t>
      </w:r>
      <w:r>
        <w:rPr>
          <w:b/>
          <w:sz w:val="20"/>
        </w:rPr>
        <w:t>ОБЩЕСТВО</w:t>
      </w:r>
    </w:p>
    <w:p w:rsidR="006355FB" w:rsidRDefault="00FC23E0">
      <w:pPr>
        <w:spacing w:before="1"/>
        <w:ind w:left="3557"/>
        <w:rPr>
          <w:b/>
          <w:sz w:val="20"/>
        </w:rPr>
      </w:pPr>
      <w:r>
        <w:rPr>
          <w:b/>
          <w:sz w:val="20"/>
        </w:rPr>
        <w:t>«НАЦИОНАЛЬНЫЙ</w:t>
      </w:r>
      <w:r>
        <w:rPr>
          <w:b/>
          <w:spacing w:val="-6"/>
          <w:sz w:val="20"/>
        </w:rPr>
        <w:t xml:space="preserve"> </w:t>
      </w:r>
      <w:r>
        <w:rPr>
          <w:b/>
          <w:sz w:val="20"/>
        </w:rPr>
        <w:t>НЕГОСУДАРСТВЕННЫЙ</w:t>
      </w:r>
      <w:r>
        <w:rPr>
          <w:b/>
          <w:spacing w:val="-5"/>
          <w:sz w:val="20"/>
        </w:rPr>
        <w:t xml:space="preserve"> </w:t>
      </w:r>
      <w:r>
        <w:rPr>
          <w:b/>
          <w:sz w:val="20"/>
        </w:rPr>
        <w:t>ПЕНСИОННЫЙ</w:t>
      </w:r>
      <w:r>
        <w:rPr>
          <w:b/>
          <w:spacing w:val="-5"/>
          <w:sz w:val="20"/>
        </w:rPr>
        <w:t xml:space="preserve"> </w:t>
      </w:r>
      <w:r>
        <w:rPr>
          <w:b/>
          <w:sz w:val="20"/>
        </w:rPr>
        <w:t>ФОНД»</w:t>
      </w:r>
    </w:p>
    <w:p w:rsidR="006355FB" w:rsidRDefault="006355FB">
      <w:pPr>
        <w:pStyle w:val="a3"/>
        <w:rPr>
          <w:b/>
          <w:sz w:val="20"/>
        </w:rPr>
      </w:pPr>
    </w:p>
    <w:p w:rsidR="006355FB" w:rsidRDefault="006355FB">
      <w:pPr>
        <w:pStyle w:val="a3"/>
        <w:rPr>
          <w:b/>
          <w:sz w:val="20"/>
        </w:rPr>
      </w:pPr>
    </w:p>
    <w:p w:rsidR="00E76B49" w:rsidRDefault="00E76B49">
      <w:pPr>
        <w:pStyle w:val="a3"/>
        <w:rPr>
          <w:b/>
          <w:sz w:val="20"/>
        </w:rPr>
      </w:pPr>
    </w:p>
    <w:p w:rsidR="00DC7BB6" w:rsidRPr="00E76B49" w:rsidRDefault="00E76B49" w:rsidP="00E76B49">
      <w:pPr>
        <w:spacing w:before="101"/>
        <w:ind w:left="709" w:right="284"/>
        <w:jc w:val="center"/>
        <w:rPr>
          <w:b/>
        </w:rPr>
      </w:pPr>
      <w:r w:rsidRPr="00E76B49">
        <w:rPr>
          <w:b/>
        </w:rPr>
        <w:t>Декларация (уведомление) о рисках, связанных с инвестированием пенсионных накоплений и (или) размещением пенсионных резервов</w:t>
      </w:r>
    </w:p>
    <w:p w:rsidR="00E76B49" w:rsidRDefault="00572324" w:rsidP="0034388C">
      <w:pPr>
        <w:spacing w:before="120"/>
        <w:ind w:left="142" w:firstLine="567"/>
        <w:jc w:val="both"/>
      </w:pPr>
      <w:r>
        <w:t xml:space="preserve"> </w:t>
      </w:r>
    </w:p>
    <w:p w:rsidR="00D07AF8" w:rsidRDefault="005E43C2" w:rsidP="0034388C">
      <w:pPr>
        <w:spacing w:before="120"/>
        <w:ind w:left="142" w:firstLine="567"/>
        <w:jc w:val="both"/>
      </w:pPr>
      <w:r>
        <w:t>Настоящая Декларация разработана в соответствии с требованиями действующего законодательства, стандартов саморегулируемой организации, членом которой является Фонд, и имеет своей целью информировать Клиентов</w:t>
      </w:r>
      <w:r w:rsidR="00D07AF8">
        <w:rPr>
          <w:rStyle w:val="a7"/>
        </w:rPr>
        <w:footnoteReference w:id="1"/>
      </w:r>
      <w:r>
        <w:t xml:space="preserve"> Фонда об основных рисках, связанных с инвестированием средств пенсионных накоплений и (или) размещением средств пенсионных резервов. </w:t>
      </w:r>
    </w:p>
    <w:p w:rsidR="00D07AF8" w:rsidRDefault="005E43C2" w:rsidP="0034388C">
      <w:pPr>
        <w:spacing w:before="120"/>
        <w:ind w:left="142" w:firstLine="567"/>
        <w:jc w:val="both"/>
      </w:pPr>
      <w:r>
        <w:t xml:space="preserve">Для целей настоящей Декларации под риском при осуществлении Фондом инвестирования средств пенсионных накоплений и (или) размещения средств пенсионных резервов понимается возможность наступления события, влекущего за собой финансовые потери для Фонда. </w:t>
      </w:r>
    </w:p>
    <w:p w:rsidR="00A57729" w:rsidRDefault="005E43C2" w:rsidP="0034388C">
      <w:pPr>
        <w:spacing w:before="120"/>
        <w:ind w:left="142" w:firstLine="567"/>
        <w:jc w:val="both"/>
      </w:pPr>
      <w:r>
        <w:t>Ниже приводятся конкретные виды рисков, список которых не является исчерпывающим, но позволяет Клиенту иметь общее представление об основных рисках инвестирования средств пенсионных накоплений и (или) размещения средств пенсионных резервов в инструменты финансового рынка или иные законодательно разрешенные активы.</w:t>
      </w:r>
    </w:p>
    <w:p w:rsidR="00193062" w:rsidRDefault="00193062" w:rsidP="0034388C">
      <w:pPr>
        <w:spacing w:before="120"/>
        <w:ind w:left="142" w:firstLine="567"/>
        <w:jc w:val="both"/>
      </w:pPr>
      <w:r w:rsidRPr="00D07AF8">
        <w:rPr>
          <w:b/>
        </w:rPr>
        <w:t>Рыночный риск</w:t>
      </w:r>
      <w:r>
        <w:t xml:space="preserve"> – риск возникновения убытков вследствие неблагоприятного изменения рыночной стоимости финансовых инструментов, в которые размещены активы. Рыночный риск может быть обусловлен неблагоприятной динамикой таких факторов как обменные курсы, процентные ставки, кредитные спрэды, цены на финансовые активы вследствие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w:t>
      </w:r>
      <w:r w:rsidR="00D07AF8">
        <w:t xml:space="preserve">в том числе </w:t>
      </w:r>
      <w:r>
        <w:t>стихийного и военного характера.</w:t>
      </w:r>
    </w:p>
    <w:p w:rsidR="00193062" w:rsidRDefault="00193062" w:rsidP="0034388C">
      <w:pPr>
        <w:spacing w:before="120"/>
        <w:ind w:left="142" w:firstLine="567"/>
        <w:jc w:val="both"/>
      </w:pPr>
      <w:r>
        <w:t xml:space="preserve">Рыночный риск включает в себя: </w:t>
      </w:r>
    </w:p>
    <w:p w:rsidR="00193062" w:rsidRPr="00D07AF8" w:rsidRDefault="00193062" w:rsidP="0034388C">
      <w:pPr>
        <w:spacing w:before="120"/>
        <w:ind w:left="142" w:firstLine="567"/>
        <w:jc w:val="both"/>
      </w:pPr>
      <w:r w:rsidRPr="00D07AF8">
        <w:t xml:space="preserve">− </w:t>
      </w:r>
      <w:r w:rsidRPr="00D07AF8">
        <w:rPr>
          <w:i/>
        </w:rPr>
        <w:t>фондовый риск</w:t>
      </w:r>
      <w:r w:rsidRPr="00D07AF8">
        <w:t xml:space="preserve"> – риск возникновения убытков вследствие неблагоприятного изменения цен (котировок) инструментов фондового рынка. Фондовый риск проявляется в форме изменения стоимости </w:t>
      </w:r>
      <w:r w:rsidR="0034388C">
        <w:t>и</w:t>
      </w:r>
      <w:r w:rsidRPr="00D07AF8">
        <w:t xml:space="preserve"> </w:t>
      </w:r>
      <w:r w:rsidR="0034388C">
        <w:t xml:space="preserve">появлении </w:t>
      </w:r>
      <w:r w:rsidRPr="00D07AF8">
        <w:t>отрицательной переоценки</w:t>
      </w:r>
      <w:r w:rsidR="0034388C">
        <w:t xml:space="preserve"> долевых ценных бумаг</w:t>
      </w:r>
      <w:r w:rsidRPr="00D07AF8">
        <w:t xml:space="preserve">; </w:t>
      </w:r>
    </w:p>
    <w:p w:rsidR="002A7B2E" w:rsidRPr="00D07AF8" w:rsidRDefault="00193062" w:rsidP="0034388C">
      <w:pPr>
        <w:spacing w:before="120"/>
        <w:ind w:left="142" w:firstLine="567"/>
        <w:jc w:val="both"/>
      </w:pPr>
      <w:r w:rsidRPr="00D07AF8">
        <w:t xml:space="preserve">− </w:t>
      </w:r>
      <w:r w:rsidRPr="00D07AF8">
        <w:rPr>
          <w:i/>
        </w:rPr>
        <w:t>валютный риск</w:t>
      </w:r>
      <w:r w:rsidRPr="00D07AF8">
        <w:t xml:space="preserve"> – риск возникновения убытков вследствие неблагоприятного изменения курсов иностранных валют. Валютный риск проявляется в форме изменения стоимости активов и отрицательной переоценк</w:t>
      </w:r>
      <w:bookmarkStart w:id="0" w:name="_GoBack"/>
      <w:bookmarkEnd w:id="0"/>
      <w:r w:rsidRPr="00D07AF8">
        <w:t>и активов в иностранных валютах в эквиваленте национальной валюты;</w:t>
      </w:r>
    </w:p>
    <w:p w:rsidR="002A7B2E" w:rsidRPr="00D07AF8" w:rsidRDefault="00193062" w:rsidP="0034388C">
      <w:pPr>
        <w:spacing w:before="120"/>
        <w:ind w:left="142" w:firstLine="567"/>
        <w:jc w:val="both"/>
      </w:pPr>
      <w:r w:rsidRPr="00D07AF8">
        <w:t xml:space="preserve"> − </w:t>
      </w:r>
      <w:r w:rsidRPr="00D07AF8">
        <w:rPr>
          <w:i/>
        </w:rPr>
        <w:t>процентный риск</w:t>
      </w:r>
      <w:r w:rsidRPr="00D07AF8">
        <w:t xml:space="preserve"> – риск возникновения убытков вследствие неблагоприятного изменения процентных ставок на рынке. Процентный риск проявляется в снижении стоимости облигаций с фиксированным доходом (купоном). </w:t>
      </w:r>
    </w:p>
    <w:p w:rsidR="00D07AF8" w:rsidRDefault="00193062" w:rsidP="0034388C">
      <w:pPr>
        <w:spacing w:before="120"/>
        <w:ind w:left="142" w:firstLine="567"/>
        <w:jc w:val="both"/>
      </w:pPr>
      <w:r w:rsidRPr="00D07AF8">
        <w:rPr>
          <w:b/>
        </w:rPr>
        <w:t>Кредитный риск</w:t>
      </w:r>
      <w:r>
        <w:t xml:space="preserve"> – риск возникновения убытков вследствие неисполнения, несвоевременного либо неполного исполнения контрагентом</w:t>
      </w:r>
      <w:r w:rsidR="00D07AF8">
        <w:t xml:space="preserve"> или эмитентом</w:t>
      </w:r>
      <w:r>
        <w:t xml:space="preserve"> </w:t>
      </w:r>
      <w:r w:rsidR="00681168">
        <w:t xml:space="preserve">ценных бумаг </w:t>
      </w:r>
      <w:r>
        <w:t xml:space="preserve">по долговому обязательству перед Фондом финансовых обязательств в соответствии с условиями договора или иных документов, регламентирующих взаимоотношения </w:t>
      </w:r>
      <w:r w:rsidR="00D07AF8">
        <w:t xml:space="preserve">с </w:t>
      </w:r>
      <w:r>
        <w:t>контрагенто</w:t>
      </w:r>
      <w:r w:rsidR="00D07AF8">
        <w:t>м</w:t>
      </w:r>
      <w:r w:rsidR="00681168">
        <w:t>/</w:t>
      </w:r>
      <w:r w:rsidR="00D07AF8">
        <w:t xml:space="preserve"> эмитентом</w:t>
      </w:r>
      <w:r>
        <w:t>.</w:t>
      </w:r>
    </w:p>
    <w:p w:rsidR="00193062" w:rsidRDefault="00193062" w:rsidP="0034388C">
      <w:pPr>
        <w:spacing w:before="120"/>
        <w:ind w:left="142" w:firstLine="567"/>
        <w:jc w:val="both"/>
      </w:pPr>
      <w:r w:rsidRPr="00681168">
        <w:rPr>
          <w:b/>
        </w:rPr>
        <w:t>Риск концентрации</w:t>
      </w:r>
      <w:r>
        <w:t xml:space="preserve"> – риск, связанный с концентрацией части средств пенсионных накоплений или пенсионных резервов в одном активе или в одном контрагенте</w:t>
      </w:r>
      <w:r w:rsidR="00454D89">
        <w:t>/ эмитенте</w:t>
      </w:r>
      <w:r>
        <w:t>, реализация которого может привести к значительным убыткам, способным создать угрозу для платежеспособности Фонда. Риск концентрации может проявляться при сосредоточении активов на группе связанных контрагентов</w:t>
      </w:r>
      <w:r w:rsidR="00454D89">
        <w:t>/ эмитентов</w:t>
      </w:r>
      <w:r>
        <w:t xml:space="preserve"> и на отдельных типах финансовых инструментов.</w:t>
      </w:r>
    </w:p>
    <w:p w:rsidR="00193062" w:rsidRDefault="00193062" w:rsidP="0034388C">
      <w:pPr>
        <w:spacing w:before="120"/>
        <w:ind w:left="142" w:firstLine="567"/>
        <w:jc w:val="both"/>
      </w:pPr>
      <w:r w:rsidRPr="0034388C">
        <w:rPr>
          <w:b/>
        </w:rPr>
        <w:lastRenderedPageBreak/>
        <w:t>Риск ликвидности</w:t>
      </w:r>
      <w:r>
        <w:t xml:space="preserve"> – риск возникновения убытков вследствие недостаточности у Фонда ликвидных активов для своевременного исполнения обязательств в полном объёме или недостаточной ликвидности рынка для реализации активов без существенного изменения цены. Фонд выделяет две разновидности риска ликвидности: </w:t>
      </w:r>
    </w:p>
    <w:p w:rsidR="00193062" w:rsidRDefault="00193062" w:rsidP="0034388C">
      <w:pPr>
        <w:spacing w:before="120"/>
        <w:ind w:left="142" w:firstLine="567"/>
        <w:jc w:val="both"/>
      </w:pPr>
      <w:r>
        <w:t xml:space="preserve">− </w:t>
      </w:r>
      <w:r w:rsidRPr="0034388C">
        <w:rPr>
          <w:i/>
        </w:rPr>
        <w:t>риск текущей ликвидности</w:t>
      </w:r>
      <w:r>
        <w:t xml:space="preserve"> </w:t>
      </w:r>
      <w:r w:rsidRPr="0034388C">
        <w:rPr>
          <w:i/>
        </w:rPr>
        <w:t>(риск неплатежеспособности)</w:t>
      </w:r>
      <w:r>
        <w:t xml:space="preserve"> – риск недостаточности ликвидных активов для выполнения обязательств Фонда, обусловленный несбалансированностью денежных потоков по активам и пассивам. Риск текущей ликвидности проявляется в виде недостаточного объема денежных средств для полного и своевременного исполнения обязательств Фондом; </w:t>
      </w:r>
    </w:p>
    <w:p w:rsidR="00193062" w:rsidRDefault="00193062" w:rsidP="0034388C">
      <w:pPr>
        <w:spacing w:before="120"/>
        <w:ind w:left="142" w:firstLine="567"/>
        <w:jc w:val="both"/>
      </w:pPr>
      <w:r w:rsidRPr="0034388C">
        <w:rPr>
          <w:i/>
        </w:rPr>
        <w:t>− риск рыночной ликвидности</w:t>
      </w:r>
      <w:r>
        <w:t xml:space="preserve"> – риск невозможности реализовать финансовые активы на рынке в требуемые сроки и по текущим рыночным котировкам. Данный риск может проявиться при необходимости быстрой продажи финансовых активов в убытках, связанных со значительным снижением их стоимости. </w:t>
      </w:r>
    </w:p>
    <w:p w:rsidR="0034388C" w:rsidRDefault="00193062" w:rsidP="0034388C">
      <w:pPr>
        <w:spacing w:before="120"/>
        <w:ind w:left="142" w:firstLine="567"/>
        <w:jc w:val="both"/>
      </w:pPr>
      <w:r w:rsidRPr="0034388C">
        <w:rPr>
          <w:b/>
        </w:rPr>
        <w:t>Операционный риск</w:t>
      </w:r>
      <w:r>
        <w:t xml:space="preserve"> – риск возникновения негативных последствий, включая финансовые потери, из-за ненадлежащего функционирования основных бизнес-процессов и учета операций, ошибок, вызванных несовершенством IT-платформы и/или недостаточной квалификацией и недобросовестностью персонала Фонда, несовершенства практики внутрикорпоративного делового оборота, внешних событий, в том числе действий законодательных и исполнительных органов власти. </w:t>
      </w:r>
    </w:p>
    <w:p w:rsidR="00193062" w:rsidRDefault="00193062" w:rsidP="0034388C">
      <w:pPr>
        <w:spacing w:before="120"/>
        <w:ind w:left="142" w:firstLine="567"/>
        <w:jc w:val="both"/>
      </w:pPr>
      <w:r>
        <w:t xml:space="preserve">Дополнительными источниками возникновения потерь вследствие реализации операционного риска могут служить факты недобросовестного исполнения своих обязанностей участниками финансового рынка (к которым, в частности, относятся: биржи, расчётные депозитарии, регистраторы, расчётные банки и др.) или компаниями, предоставляющими услуги по обслуживанию информационно-технической инфраструктуры. </w:t>
      </w:r>
    </w:p>
    <w:p w:rsidR="00193062" w:rsidRDefault="00193062" w:rsidP="0034388C">
      <w:pPr>
        <w:spacing w:before="120"/>
        <w:ind w:left="142" w:firstLine="567"/>
        <w:jc w:val="both"/>
      </w:pPr>
      <w:r w:rsidRPr="0034388C">
        <w:rPr>
          <w:b/>
        </w:rPr>
        <w:t>Риск потери деловой репутации</w:t>
      </w:r>
      <w:r>
        <w:t xml:space="preserve"> – риск возникновения убытков в результате негативного восприятия Фонда со стороны его акционеров, контрагентов, надзорных органов, общества и иных заинтересованных сторон, которые могут негативно повлиять на способность Фонда поддерживать существующие и (или) устанавливать новые деловые отношения и поддерживать на постоянной основе доступ к источникам финансирования.</w:t>
      </w:r>
    </w:p>
    <w:p w:rsidR="00193062" w:rsidRDefault="00193062" w:rsidP="0034388C">
      <w:pPr>
        <w:spacing w:before="120"/>
        <w:ind w:left="142" w:firstLine="567"/>
        <w:jc w:val="both"/>
      </w:pPr>
      <w:r w:rsidRPr="0034388C">
        <w:rPr>
          <w:b/>
        </w:rPr>
        <w:t>Регуляторный риск</w:t>
      </w:r>
      <w:r>
        <w:t xml:space="preserve"> – риск возникновения убытков вследствие несоблюдения законодательства Российской Федерации, ВНД Фонда, стандартов и правил саморегулируемых организаций (если такие стандарты или правила являются обязательными для Фонда), а также в результате применения санкций и/или иных мер воздействия со стороны надзорных органов, действий законодательных и исполнительных органов власти. </w:t>
      </w:r>
    </w:p>
    <w:p w:rsidR="0034388C" w:rsidRDefault="0034388C" w:rsidP="0034388C">
      <w:pPr>
        <w:spacing w:before="120"/>
        <w:ind w:left="142" w:firstLine="567"/>
        <w:jc w:val="both"/>
      </w:pPr>
    </w:p>
    <w:p w:rsidR="00193062" w:rsidRDefault="00193062" w:rsidP="0034388C">
      <w:pPr>
        <w:spacing w:before="120"/>
        <w:ind w:left="142" w:firstLine="567"/>
        <w:jc w:val="both"/>
      </w:pPr>
      <w:r>
        <w:t>Риски Фонда могут затрагивать как отдельные бизнес-процессы, так и ряд бизнес-процессов и функции Фонда в целом. Различные виды рисков Фонда могут быть взаимосвязаны между собой, реализация одного риска может изменять уровень или приводить к реализации других рисков.</w:t>
      </w:r>
    </w:p>
    <w:sectPr w:rsidR="00193062" w:rsidSect="00D07AF8">
      <w:type w:val="continuous"/>
      <w:pgSz w:w="11910" w:h="16840"/>
      <w:pgMar w:top="720" w:right="853"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AF8" w:rsidRDefault="00D07AF8" w:rsidP="00D07AF8">
      <w:r>
        <w:separator/>
      </w:r>
    </w:p>
  </w:endnote>
  <w:endnote w:type="continuationSeparator" w:id="0">
    <w:p w:rsidR="00D07AF8" w:rsidRDefault="00D07AF8" w:rsidP="00D0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AF8" w:rsidRDefault="00D07AF8" w:rsidP="00D07AF8">
      <w:r>
        <w:separator/>
      </w:r>
    </w:p>
  </w:footnote>
  <w:footnote w:type="continuationSeparator" w:id="0">
    <w:p w:rsidR="00D07AF8" w:rsidRDefault="00D07AF8" w:rsidP="00D07AF8">
      <w:r>
        <w:continuationSeparator/>
      </w:r>
    </w:p>
  </w:footnote>
  <w:footnote w:id="1">
    <w:p w:rsidR="00D07AF8" w:rsidRPr="00D07AF8" w:rsidRDefault="00D07AF8" w:rsidP="00681168">
      <w:pPr>
        <w:pStyle w:val="a5"/>
        <w:jc w:val="both"/>
        <w:rPr>
          <w:sz w:val="16"/>
          <w:szCs w:val="16"/>
        </w:rPr>
      </w:pPr>
      <w:r>
        <w:rPr>
          <w:rStyle w:val="a7"/>
        </w:rPr>
        <w:footnoteRef/>
      </w:r>
      <w:r>
        <w:t xml:space="preserve"> </w:t>
      </w:r>
      <w:r w:rsidRPr="00D07AF8">
        <w:rPr>
          <w:sz w:val="16"/>
          <w:szCs w:val="16"/>
        </w:rPr>
        <w:t>В настоящей Декларации под термином «Клиент» подразумевается юридическое или физическое лицо, заключившее (намеренное заключить) с Фондом договор негосударственно</w:t>
      </w:r>
      <w:r w:rsidR="00946E8D">
        <w:rPr>
          <w:sz w:val="16"/>
          <w:szCs w:val="16"/>
        </w:rPr>
        <w:t>го</w:t>
      </w:r>
      <w:r w:rsidRPr="00D07AF8">
        <w:rPr>
          <w:sz w:val="16"/>
          <w:szCs w:val="16"/>
        </w:rPr>
        <w:t xml:space="preserve"> пенсионно</w:t>
      </w:r>
      <w:r w:rsidR="00946E8D">
        <w:rPr>
          <w:sz w:val="16"/>
          <w:szCs w:val="16"/>
        </w:rPr>
        <w:t>го</w:t>
      </w:r>
      <w:r w:rsidRPr="00D07AF8">
        <w:rPr>
          <w:sz w:val="16"/>
          <w:szCs w:val="16"/>
        </w:rPr>
        <w:t xml:space="preserve"> обеспечени</w:t>
      </w:r>
      <w:r w:rsidR="00946E8D">
        <w:rPr>
          <w:sz w:val="16"/>
          <w:szCs w:val="16"/>
        </w:rPr>
        <w:t>я</w:t>
      </w:r>
      <w:r w:rsidRPr="00D07AF8">
        <w:rPr>
          <w:sz w:val="16"/>
          <w:szCs w:val="16"/>
        </w:rPr>
        <w:t>, включая досрочное негосударственное пенсионное обеспечение или физическое лицо, заключившее (намеренное заключить) с Фондом договор обязательно</w:t>
      </w:r>
      <w:r w:rsidR="00946E8D">
        <w:rPr>
          <w:sz w:val="16"/>
          <w:szCs w:val="16"/>
        </w:rPr>
        <w:t>го</w:t>
      </w:r>
      <w:r w:rsidRPr="00D07AF8">
        <w:rPr>
          <w:sz w:val="16"/>
          <w:szCs w:val="16"/>
        </w:rPr>
        <w:t xml:space="preserve"> пенсионно</w:t>
      </w:r>
      <w:r w:rsidR="00946E8D">
        <w:rPr>
          <w:sz w:val="16"/>
          <w:szCs w:val="16"/>
        </w:rPr>
        <w:t>го</w:t>
      </w:r>
      <w:r w:rsidRPr="00D07AF8">
        <w:rPr>
          <w:sz w:val="16"/>
          <w:szCs w:val="16"/>
        </w:rPr>
        <w:t xml:space="preserve"> страховани</w:t>
      </w:r>
      <w:r w:rsidR="00946E8D">
        <w:rPr>
          <w:sz w:val="16"/>
          <w:szCs w:val="16"/>
        </w:rPr>
        <w:t>я</w:t>
      </w:r>
      <w:r w:rsidR="00681168">
        <w:rPr>
          <w:sz w:val="16"/>
          <w:szCs w:val="16"/>
        </w:rPr>
        <w:t xml:space="preserve"> или договор долгосрочных сбережений</w:t>
      </w:r>
      <w:r w:rsidRPr="00D07AF8">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FB"/>
    <w:rsid w:val="001835B3"/>
    <w:rsid w:val="00193062"/>
    <w:rsid w:val="002772DC"/>
    <w:rsid w:val="002A7B2E"/>
    <w:rsid w:val="0034388C"/>
    <w:rsid w:val="00385C6E"/>
    <w:rsid w:val="00454D89"/>
    <w:rsid w:val="00572324"/>
    <w:rsid w:val="005E43C2"/>
    <w:rsid w:val="006355FB"/>
    <w:rsid w:val="00663226"/>
    <w:rsid w:val="00681168"/>
    <w:rsid w:val="00807D1C"/>
    <w:rsid w:val="00946E8D"/>
    <w:rsid w:val="009D4017"/>
    <w:rsid w:val="00A242FA"/>
    <w:rsid w:val="00A27CEB"/>
    <w:rsid w:val="00A57729"/>
    <w:rsid w:val="00A82416"/>
    <w:rsid w:val="00D07AF8"/>
    <w:rsid w:val="00DC4A03"/>
    <w:rsid w:val="00DC7BB6"/>
    <w:rsid w:val="00E01247"/>
    <w:rsid w:val="00E76B49"/>
    <w:rsid w:val="00F60EA8"/>
    <w:rsid w:val="00FC23E0"/>
    <w:rsid w:val="00FE3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D690B-0B7C-48E6-8E29-0AE2AF54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ahoma" w:eastAsia="Tahoma" w:hAnsi="Tahoma" w:cs="Tahoma"/>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footnote text"/>
    <w:basedOn w:val="a"/>
    <w:link w:val="a6"/>
    <w:uiPriority w:val="99"/>
    <w:semiHidden/>
    <w:unhideWhenUsed/>
    <w:rsid w:val="00D07AF8"/>
    <w:rPr>
      <w:sz w:val="20"/>
      <w:szCs w:val="20"/>
    </w:rPr>
  </w:style>
  <w:style w:type="character" w:customStyle="1" w:styleId="a6">
    <w:name w:val="Текст сноски Знак"/>
    <w:basedOn w:val="a0"/>
    <w:link w:val="a5"/>
    <w:uiPriority w:val="99"/>
    <w:semiHidden/>
    <w:rsid w:val="00D07AF8"/>
    <w:rPr>
      <w:rFonts w:ascii="Tahoma" w:eastAsia="Tahoma" w:hAnsi="Tahoma" w:cs="Tahoma"/>
      <w:sz w:val="20"/>
      <w:szCs w:val="20"/>
      <w:lang w:val="ru-RU"/>
    </w:rPr>
  </w:style>
  <w:style w:type="character" w:styleId="a7">
    <w:name w:val="footnote reference"/>
    <w:basedOn w:val="a0"/>
    <w:uiPriority w:val="99"/>
    <w:semiHidden/>
    <w:unhideWhenUsed/>
    <w:rsid w:val="00D07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CCB1A-40B1-4C64-8DBA-4D1F732F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Людмила Викторовна</dc:creator>
  <cp:lastModifiedBy>Орлова Людмила Викторовна</cp:lastModifiedBy>
  <cp:revision>2</cp:revision>
  <dcterms:created xsi:type="dcterms:W3CDTF">2026-02-09T12:46:00Z</dcterms:created>
  <dcterms:modified xsi:type="dcterms:W3CDTF">2026-02-09T12:46:00Z</dcterms:modified>
</cp:coreProperties>
</file>